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EEE7" w14:textId="197B8124" w:rsidR="00766533" w:rsidRDefault="00483D7B" w:rsidP="001F7DBD">
      <w:pPr>
        <w:pStyle w:val="Heading3"/>
        <w:rPr>
          <w:rFonts w:eastAsia="Times New Roman" w:cs="Arial"/>
          <w:bCs w:val="0"/>
          <w:sz w:val="30"/>
          <w:szCs w:val="30"/>
        </w:rPr>
        <w:sectPr w:rsidR="00766533" w:rsidSect="006E5E56">
          <w:footerReference w:type="default" r:id="rId8"/>
          <w:pgSz w:w="11906" w:h="16838"/>
          <w:pgMar w:top="709" w:right="1440" w:bottom="709" w:left="1440" w:header="708" w:footer="708" w:gutter="0"/>
          <w:cols w:space="708"/>
          <w:titlePg/>
          <w:docGrid w:linePitch="360"/>
        </w:sectPr>
      </w:pPr>
      <w:r w:rsidRPr="00766533">
        <w:rPr>
          <w:rFonts w:eastAsia="Times New Roman" w:cs="Arial"/>
          <w:bCs w:val="0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5B8F5" wp14:editId="009985FF">
                <wp:simplePos x="0" y="0"/>
                <wp:positionH relativeFrom="column">
                  <wp:posOffset>-488950</wp:posOffset>
                </wp:positionH>
                <wp:positionV relativeFrom="paragraph">
                  <wp:posOffset>3736178</wp:posOffset>
                </wp:positionV>
                <wp:extent cx="6809740" cy="1637414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637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E0DF" w14:textId="65043A2C" w:rsidR="00766533" w:rsidRDefault="00766533" w:rsidP="00766533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713BD0">
                              <w:rPr>
                                <w:rFonts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UKCRC Registered CTU</w:t>
                            </w:r>
                            <w:r w:rsidR="00DC330C">
                              <w:rPr>
                                <w:rFonts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s</w:t>
                            </w:r>
                            <w:r w:rsidRPr="00713BD0">
                              <w:rPr>
                                <w:rFonts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Network</w:t>
                            </w:r>
                          </w:p>
                          <w:p w14:paraId="23D6A913" w14:textId="31CD1CA2" w:rsidR="0050314D" w:rsidRDefault="0050314D" w:rsidP="00766533">
                            <w:pPr>
                              <w:rPr>
                                <w:rFonts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E5E56">
                              <w:rPr>
                                <w:rFonts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Key Competencies and Evaluation Criteria </w:t>
                            </w:r>
                          </w:p>
                          <w:p w14:paraId="3B9D8C6F" w14:textId="5946FD9B" w:rsidR="00DC330C" w:rsidRDefault="00DC330C" w:rsidP="00766533">
                            <w:pPr>
                              <w:rPr>
                                <w:rFonts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50"/>
                                <w:szCs w:val="50"/>
                              </w:rPr>
                              <w:t>Renewal Applications</w:t>
                            </w:r>
                          </w:p>
                          <w:p w14:paraId="137C035F" w14:textId="7AE15A38" w:rsidR="00483D7B" w:rsidRPr="006E5E56" w:rsidRDefault="00483D7B" w:rsidP="00766533">
                            <w:pPr>
                              <w:rPr>
                                <w:rFonts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50"/>
                                <w:szCs w:val="50"/>
                              </w:rPr>
                              <w:t>20</w:t>
                            </w:r>
                            <w:r w:rsidR="00E82022">
                              <w:rPr>
                                <w:rFonts w:cs="Arial"/>
                                <w:color w:val="FFFFFF" w:themeColor="background1"/>
                                <w:sz w:val="50"/>
                                <w:szCs w:val="5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5B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pt;margin-top:294.2pt;width:536.2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" filled="f" stroked="f">
                <v:textbox>
                  <w:txbxContent>
                    <w:p w14:paraId="70A1E0DF" w14:textId="65043A2C" w:rsidR="00766533" w:rsidRDefault="00766533" w:rsidP="00766533">
                      <w:pPr>
                        <w:rPr>
                          <w:rFonts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713BD0">
                        <w:rPr>
                          <w:rFonts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UKCRC Registered CTU</w:t>
                      </w:r>
                      <w:r w:rsidR="00DC330C">
                        <w:rPr>
                          <w:rFonts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s</w:t>
                      </w:r>
                      <w:r w:rsidRPr="00713BD0">
                        <w:rPr>
                          <w:rFonts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Network</w:t>
                      </w:r>
                    </w:p>
                    <w:p w14:paraId="23D6A913" w14:textId="31CD1CA2" w:rsidR="0050314D" w:rsidRDefault="0050314D" w:rsidP="00766533">
                      <w:pPr>
                        <w:rPr>
                          <w:rFonts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6E5E56">
                        <w:rPr>
                          <w:rFonts w:cs="Arial"/>
                          <w:color w:val="FFFFFF" w:themeColor="background1"/>
                          <w:sz w:val="50"/>
                          <w:szCs w:val="50"/>
                        </w:rPr>
                        <w:t xml:space="preserve">Key Competencies and Evaluation Criteria </w:t>
                      </w:r>
                    </w:p>
                    <w:p w14:paraId="3B9D8C6F" w14:textId="5946FD9B" w:rsidR="00DC330C" w:rsidRDefault="00DC330C" w:rsidP="00766533">
                      <w:pPr>
                        <w:rPr>
                          <w:rFonts w:cs="Arial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50"/>
                          <w:szCs w:val="50"/>
                        </w:rPr>
                        <w:t>Renewal Applications</w:t>
                      </w:r>
                    </w:p>
                    <w:p w14:paraId="137C035F" w14:textId="7AE15A38" w:rsidR="00483D7B" w:rsidRPr="006E5E56" w:rsidRDefault="00483D7B" w:rsidP="00766533">
                      <w:pPr>
                        <w:rPr>
                          <w:rFonts w:cs="Arial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50"/>
                          <w:szCs w:val="50"/>
                        </w:rPr>
                        <w:t>20</w:t>
                      </w:r>
                      <w:r w:rsidR="00E82022">
                        <w:rPr>
                          <w:rFonts w:cs="Arial"/>
                          <w:color w:val="FFFFFF" w:themeColor="background1"/>
                          <w:sz w:val="50"/>
                          <w:szCs w:val="5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66533" w:rsidRPr="00766533">
        <w:rPr>
          <w:rFonts w:eastAsia="Times New Roman" w:cs="Arial"/>
          <w:bCs w:val="0"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2D20C2CC" wp14:editId="2169997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6000" cy="10741706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CRC-Survey-cover-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33" w:rsidRPr="00766533">
        <w:rPr>
          <w:rFonts w:eastAsia="Times New Roman" w:cs="Arial"/>
          <w:bCs w:val="0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93B1E" wp14:editId="441E3CC7">
                <wp:simplePos x="0" y="0"/>
                <wp:positionH relativeFrom="page">
                  <wp:posOffset>19050</wp:posOffset>
                </wp:positionH>
                <wp:positionV relativeFrom="page">
                  <wp:posOffset>3719195</wp:posOffset>
                </wp:positionV>
                <wp:extent cx="7559675" cy="2429510"/>
                <wp:effectExtent l="0" t="0" r="317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429510"/>
                        </a:xfrm>
                        <a:prstGeom prst="rect">
                          <a:avLst/>
                        </a:prstGeom>
                        <a:solidFill>
                          <a:srgbClr val="2825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190F" id="Rectangle 4" o:spid="_x0000_s1026" style="position:absolute;margin-left:1.5pt;margin-top:292.85pt;width:595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" fillcolor="#28256a" stroked="f" strokeweight="2pt">
                <w10:wrap anchorx="page" anchory="page"/>
              </v:rect>
            </w:pict>
          </mc:Fallback>
        </mc:AlternateContent>
      </w:r>
      <w:r w:rsidR="00766533" w:rsidRPr="00766533">
        <w:rPr>
          <w:rFonts w:eastAsia="Times New Roman" w:cs="Arial"/>
          <w:bCs w:val="0"/>
          <w:noProof/>
          <w:sz w:val="30"/>
          <w:szCs w:val="30"/>
          <w:lang w:eastAsia="en-GB"/>
        </w:rPr>
        <w:drawing>
          <wp:anchor distT="0" distB="0" distL="114300" distR="114300" simplePos="0" relativeHeight="251663360" behindDoc="0" locked="0" layoutInCell="1" allowOverlap="1" wp14:anchorId="29C0C1AA" wp14:editId="47ED285F">
            <wp:simplePos x="0" y="0"/>
            <wp:positionH relativeFrom="column">
              <wp:posOffset>-483870</wp:posOffset>
            </wp:positionH>
            <wp:positionV relativeFrom="paragraph">
              <wp:posOffset>8547735</wp:posOffset>
            </wp:positionV>
            <wp:extent cx="1527488" cy="99723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CRC-registered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88" cy="99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22F1A" w14:textId="3DD62BCA" w:rsidR="00B6610E" w:rsidRPr="006E5E56" w:rsidRDefault="00035107" w:rsidP="006E5E56">
      <w:pPr>
        <w:pStyle w:val="Heading1"/>
        <w:overflowPunct w:val="0"/>
        <w:autoSpaceDE w:val="0"/>
        <w:autoSpaceDN w:val="0"/>
        <w:adjustRightInd w:val="0"/>
        <w:spacing w:after="240"/>
        <w:textAlignment w:val="baseline"/>
        <w:rPr>
          <w:rFonts w:cstheme="majorBidi"/>
          <w:color w:val="00387E"/>
          <w:sz w:val="48"/>
        </w:rPr>
      </w:pPr>
      <w:r w:rsidRPr="006E5E56">
        <w:rPr>
          <w:rFonts w:cstheme="majorBidi"/>
          <w:color w:val="00387E"/>
          <w:sz w:val="48"/>
        </w:rPr>
        <w:lastRenderedPageBreak/>
        <w:t>Appendix 1</w:t>
      </w:r>
    </w:p>
    <w:p w14:paraId="6A95B67C" w14:textId="77777777" w:rsidR="00B6610E" w:rsidRDefault="00B6610E">
      <w:pPr>
        <w:pStyle w:val="BodyText"/>
        <w:rPr>
          <w:b/>
        </w:rPr>
      </w:pPr>
    </w:p>
    <w:p w14:paraId="0C869C2D" w14:textId="4508DE8C" w:rsidR="00B945E4" w:rsidRDefault="00B945E4">
      <w:pPr>
        <w:pStyle w:val="BodyText"/>
        <w:rPr>
          <w:b/>
        </w:rPr>
      </w:pPr>
      <w:r w:rsidRPr="00830408">
        <w:rPr>
          <w:b/>
        </w:rPr>
        <w:t>Key Competencies</w:t>
      </w:r>
      <w:r w:rsidRPr="001659AC">
        <w:rPr>
          <w:rFonts w:cs="Arial"/>
          <w:b/>
          <w:bCs/>
          <w:szCs w:val="22"/>
        </w:rPr>
        <w:t xml:space="preserve"> </w:t>
      </w:r>
      <w:r w:rsidRPr="00A434F1">
        <w:rPr>
          <w:rFonts w:cs="Arial"/>
          <w:b/>
          <w:bCs/>
          <w:szCs w:val="22"/>
        </w:rPr>
        <w:t>for</w:t>
      </w:r>
      <w:r w:rsidR="004839A4">
        <w:rPr>
          <w:rFonts w:cs="Arial"/>
          <w:b/>
          <w:bCs/>
          <w:szCs w:val="22"/>
        </w:rPr>
        <w:t xml:space="preserve"> Existing </w:t>
      </w:r>
      <w:r w:rsidRPr="00A434F1">
        <w:rPr>
          <w:rFonts w:cs="Arial"/>
          <w:b/>
          <w:bCs/>
          <w:szCs w:val="22"/>
        </w:rPr>
        <w:t>UKCRC</w:t>
      </w:r>
      <w:r>
        <w:rPr>
          <w:rFonts w:cs="Arial"/>
          <w:b/>
          <w:bCs/>
          <w:szCs w:val="22"/>
        </w:rPr>
        <w:t xml:space="preserve"> </w:t>
      </w:r>
      <w:r w:rsidRPr="00A434F1">
        <w:rPr>
          <w:rFonts w:cs="Arial"/>
          <w:b/>
          <w:bCs/>
          <w:szCs w:val="22"/>
        </w:rPr>
        <w:t>Registered Clinical Trials Units</w:t>
      </w:r>
    </w:p>
    <w:p w14:paraId="232217C2" w14:textId="77777777" w:rsidR="00B945E4" w:rsidRDefault="00B6610E" w:rsidP="006E5E5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DF623CC" w14:textId="46FA9B0B" w:rsidR="00B945E4" w:rsidRPr="00A434F1" w:rsidRDefault="00B945E4" w:rsidP="006E5E56">
      <w:pPr>
        <w:rPr>
          <w:rFonts w:cs="Arial"/>
          <w:szCs w:val="22"/>
        </w:rPr>
      </w:pPr>
      <w:r w:rsidRPr="00A434F1">
        <w:rPr>
          <w:rFonts w:cs="Arial"/>
          <w:szCs w:val="22"/>
        </w:rPr>
        <w:t xml:space="preserve">The following competencies should exist in </w:t>
      </w:r>
      <w:r>
        <w:rPr>
          <w:rFonts w:cs="Arial"/>
          <w:szCs w:val="22"/>
        </w:rPr>
        <w:t>C</w:t>
      </w:r>
      <w:r w:rsidRPr="00A434F1">
        <w:rPr>
          <w:rFonts w:cs="Arial"/>
          <w:szCs w:val="22"/>
        </w:rPr>
        <w:t xml:space="preserve">linical </w:t>
      </w:r>
      <w:r>
        <w:rPr>
          <w:rFonts w:cs="Arial"/>
          <w:szCs w:val="22"/>
        </w:rPr>
        <w:t>Trials U</w:t>
      </w:r>
      <w:r w:rsidRPr="00A434F1">
        <w:rPr>
          <w:rFonts w:cs="Arial"/>
          <w:szCs w:val="22"/>
        </w:rPr>
        <w:t>nits (CTUs)</w:t>
      </w:r>
      <w:r w:rsidRPr="00A434F1">
        <w:rPr>
          <w:rStyle w:val="FootnoteReference"/>
          <w:rFonts w:eastAsiaTheme="majorEastAsia"/>
          <w:szCs w:val="22"/>
        </w:rPr>
        <w:footnoteReference w:id="1"/>
      </w:r>
      <w:r w:rsidRPr="00A434F1">
        <w:rPr>
          <w:rFonts w:cs="Arial"/>
          <w:szCs w:val="22"/>
        </w:rPr>
        <w:t>, responsible for the design, conduct and analysis</w:t>
      </w:r>
      <w:r>
        <w:rPr>
          <w:rFonts w:cs="Arial"/>
          <w:szCs w:val="22"/>
        </w:rPr>
        <w:t xml:space="preserve"> of </w:t>
      </w:r>
      <w:r w:rsidRPr="00A434F1">
        <w:rPr>
          <w:rFonts w:cs="Arial"/>
          <w:szCs w:val="22"/>
        </w:rPr>
        <w:t>trials</w:t>
      </w:r>
      <w:r>
        <w:rPr>
          <w:rFonts w:cs="Arial"/>
          <w:szCs w:val="22"/>
        </w:rPr>
        <w:t xml:space="preserve"> </w:t>
      </w:r>
      <w:r w:rsidR="00EE5D40">
        <w:rPr>
          <w:rFonts w:cs="Arial"/>
          <w:szCs w:val="22"/>
        </w:rPr>
        <w:t>or</w:t>
      </w:r>
      <w:r>
        <w:rPr>
          <w:rFonts w:cs="Arial"/>
          <w:szCs w:val="22"/>
        </w:rPr>
        <w:t xml:space="preserve"> other well-</w:t>
      </w:r>
      <w:r w:rsidRPr="00A434F1">
        <w:rPr>
          <w:rFonts w:cs="Arial"/>
          <w:szCs w:val="22"/>
        </w:rPr>
        <w:t>designed studies</w:t>
      </w:r>
      <w:r w:rsidR="00B11E68">
        <w:rPr>
          <w:rFonts w:cs="Arial"/>
          <w:szCs w:val="22"/>
        </w:rPr>
        <w:t>*</w:t>
      </w:r>
      <w:r w:rsidR="004D3B83">
        <w:rPr>
          <w:rFonts w:cs="Arial"/>
          <w:szCs w:val="22"/>
        </w:rPr>
        <w:t xml:space="preserve"> </w:t>
      </w:r>
      <w:r w:rsidRPr="00A434F1">
        <w:rPr>
          <w:rFonts w:cs="Arial"/>
          <w:szCs w:val="22"/>
        </w:rPr>
        <w:t xml:space="preserve">(referred to collectively in this document as studies). </w:t>
      </w:r>
      <w:r>
        <w:rPr>
          <w:rFonts w:cs="Arial"/>
          <w:szCs w:val="22"/>
        </w:rPr>
        <w:t>Clinical Trials U</w:t>
      </w:r>
      <w:r w:rsidRPr="00A434F1">
        <w:rPr>
          <w:rFonts w:cs="Arial"/>
          <w:szCs w:val="22"/>
        </w:rPr>
        <w:t xml:space="preserve">nits in this context are defined as a single unit or as a </w:t>
      </w:r>
      <w:r w:rsidR="004839A4">
        <w:rPr>
          <w:rFonts w:cs="Arial"/>
          <w:szCs w:val="22"/>
        </w:rPr>
        <w:t xml:space="preserve">merger or </w:t>
      </w:r>
      <w:r w:rsidRPr="00A434F1">
        <w:rPr>
          <w:rFonts w:cs="Arial"/>
          <w:szCs w:val="22"/>
        </w:rPr>
        <w:t>collaborative group</w:t>
      </w:r>
      <w:r w:rsidR="004839A4">
        <w:rPr>
          <w:rFonts w:cs="Arial"/>
          <w:szCs w:val="22"/>
        </w:rPr>
        <w:t xml:space="preserve"> </w:t>
      </w:r>
      <w:r w:rsidRPr="00A434F1">
        <w:rPr>
          <w:rFonts w:cs="Arial"/>
          <w:szCs w:val="22"/>
        </w:rPr>
        <w:t xml:space="preserve">(i.e. it is not necessary for </w:t>
      </w:r>
      <w:r>
        <w:rPr>
          <w:rFonts w:cs="Arial"/>
          <w:szCs w:val="22"/>
        </w:rPr>
        <w:t xml:space="preserve">all of the expertise required </w:t>
      </w:r>
      <w:r w:rsidRPr="00A434F1">
        <w:rPr>
          <w:rFonts w:cs="Arial"/>
          <w:szCs w:val="22"/>
        </w:rPr>
        <w:t xml:space="preserve">to exist in the same geographical </w:t>
      </w:r>
      <w:r>
        <w:rPr>
          <w:rFonts w:cs="Arial"/>
          <w:szCs w:val="22"/>
        </w:rPr>
        <w:t>location</w:t>
      </w:r>
      <w:r w:rsidRPr="00A434F1">
        <w:rPr>
          <w:rFonts w:cs="Arial"/>
          <w:szCs w:val="22"/>
        </w:rPr>
        <w:t xml:space="preserve">) fulfilling all key competencies.  </w:t>
      </w:r>
      <w:r w:rsidR="00E86064">
        <w:rPr>
          <w:rFonts w:cs="Arial"/>
          <w:szCs w:val="22"/>
        </w:rPr>
        <w:t xml:space="preserve">  </w:t>
      </w:r>
      <w:bookmarkStart w:id="0" w:name="_GoBack"/>
      <w:bookmarkEnd w:id="0"/>
    </w:p>
    <w:p w14:paraId="16C83D67" w14:textId="77777777" w:rsidR="00B945E4" w:rsidRDefault="00B945E4" w:rsidP="006E5E56">
      <w:pPr>
        <w:rPr>
          <w:rFonts w:cs="Arial"/>
          <w:b/>
          <w:szCs w:val="22"/>
        </w:rPr>
      </w:pPr>
    </w:p>
    <w:p w14:paraId="5C2A6812" w14:textId="04C43C10" w:rsidR="00B945E4" w:rsidRPr="006E5E56" w:rsidRDefault="00B945E4" w:rsidP="006E5E56">
      <w:pPr>
        <w:rPr>
          <w:rFonts w:cs="Arial"/>
          <w:b/>
          <w:sz w:val="24"/>
        </w:rPr>
      </w:pPr>
      <w:r w:rsidRPr="006E5E56">
        <w:rPr>
          <w:rFonts w:cs="Arial"/>
          <w:b/>
          <w:bCs/>
          <w:sz w:val="24"/>
        </w:rPr>
        <w:t>Key Competencies</w:t>
      </w:r>
    </w:p>
    <w:p w14:paraId="61E759EC" w14:textId="77777777" w:rsidR="00B945E4" w:rsidRDefault="00B945E4" w:rsidP="006E5E56">
      <w:pPr>
        <w:rPr>
          <w:rFonts w:cs="Arial"/>
          <w:b/>
          <w:szCs w:val="22"/>
        </w:rPr>
      </w:pPr>
    </w:p>
    <w:p w14:paraId="03719558" w14:textId="7E52C8E7" w:rsidR="00B945E4" w:rsidRPr="006E5E56" w:rsidRDefault="00766533" w:rsidP="006E5E56">
      <w:pPr>
        <w:spacing w:after="240"/>
        <w:ind w:left="425" w:hanging="425"/>
        <w:rPr>
          <w:rFonts w:cs="Arial"/>
          <w:b/>
          <w:sz w:val="24"/>
        </w:rPr>
      </w:pPr>
      <w:r w:rsidRPr="00EE3980">
        <w:rPr>
          <w:rFonts w:cs="Arial"/>
          <w:b/>
          <w:sz w:val="24"/>
        </w:rPr>
        <w:t>1.</w:t>
      </w:r>
      <w:r w:rsidRPr="00EE3980">
        <w:rPr>
          <w:rFonts w:cs="Arial"/>
          <w:b/>
          <w:sz w:val="24"/>
        </w:rPr>
        <w:tab/>
      </w:r>
      <w:r w:rsidR="00B945E4" w:rsidRPr="006E5E56">
        <w:rPr>
          <w:rFonts w:cs="Arial"/>
          <w:b/>
          <w:sz w:val="24"/>
        </w:rPr>
        <w:t>Expertise, Continuity and Stability</w:t>
      </w:r>
    </w:p>
    <w:p w14:paraId="059FD881" w14:textId="1AC43E3D" w:rsidR="00B945E4" w:rsidRPr="00A434F1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 w:rsidRPr="00A434F1">
        <w:rPr>
          <w:rFonts w:cs="Arial"/>
          <w:szCs w:val="22"/>
        </w:rPr>
        <w:t>a)</w:t>
      </w:r>
      <w:r w:rsidRPr="00A434F1">
        <w:rPr>
          <w:rFonts w:cs="Arial"/>
          <w:szCs w:val="22"/>
        </w:rPr>
        <w:tab/>
      </w:r>
      <w:r w:rsidR="00606170" w:rsidRPr="00A434F1">
        <w:rPr>
          <w:rFonts w:cs="Arial"/>
          <w:szCs w:val="22"/>
        </w:rPr>
        <w:t>Knowledge, experience and a track record of coordinating</w:t>
      </w:r>
      <w:r w:rsidR="00606170">
        <w:rPr>
          <w:rFonts w:cs="Arial"/>
          <w:szCs w:val="22"/>
        </w:rPr>
        <w:t xml:space="preserve"> (NIHR CRN Portfolio eligible)</w:t>
      </w:r>
      <w:r w:rsidR="00606170">
        <w:rPr>
          <w:rStyle w:val="FootnoteReference"/>
          <w:rFonts w:cs="Arial"/>
          <w:szCs w:val="22"/>
        </w:rPr>
        <w:footnoteReference w:id="2"/>
      </w:r>
      <w:r w:rsidR="00606170" w:rsidRPr="00A434F1">
        <w:rPr>
          <w:rFonts w:cs="Arial"/>
          <w:szCs w:val="22"/>
        </w:rPr>
        <w:t xml:space="preserve"> multi-centre clinical </w:t>
      </w:r>
      <w:r w:rsidR="00606170">
        <w:rPr>
          <w:rFonts w:cs="Arial"/>
          <w:szCs w:val="22"/>
        </w:rPr>
        <w:t xml:space="preserve">research </w:t>
      </w:r>
      <w:r w:rsidR="00A30860">
        <w:rPr>
          <w:rFonts w:cs="Arial"/>
          <w:szCs w:val="22"/>
        </w:rPr>
        <w:t>trials (phase II – IV)</w:t>
      </w:r>
      <w:r w:rsidR="006B2285">
        <w:rPr>
          <w:rFonts w:cs="Arial"/>
          <w:szCs w:val="22"/>
        </w:rPr>
        <w:t xml:space="preserve"> or other well designed studies</w:t>
      </w:r>
      <w:r w:rsidR="00B11E68">
        <w:rPr>
          <w:rFonts w:cs="Arial"/>
          <w:szCs w:val="22"/>
        </w:rPr>
        <w:t>*</w:t>
      </w:r>
      <w:r w:rsidR="00606170" w:rsidRPr="00A434F1">
        <w:rPr>
          <w:rFonts w:cs="Arial"/>
          <w:szCs w:val="22"/>
        </w:rPr>
        <w:t xml:space="preserve"> from design and initiation to publication in peer reviewed journals</w:t>
      </w:r>
      <w:r w:rsidR="00606170">
        <w:rPr>
          <w:rFonts w:cs="Arial"/>
          <w:szCs w:val="22"/>
        </w:rPr>
        <w:t>, with good multi-disciplinary working relationships with investigators, clinicians, academics and experts from other specialties</w:t>
      </w:r>
      <w:r w:rsidR="00606170" w:rsidRPr="00A434F1">
        <w:rPr>
          <w:rFonts w:cs="Arial"/>
          <w:szCs w:val="22"/>
        </w:rPr>
        <w:t>.</w:t>
      </w:r>
      <w:r w:rsidR="00606170">
        <w:rPr>
          <w:rFonts w:cs="Arial"/>
          <w:szCs w:val="22"/>
        </w:rPr>
        <w:t xml:space="preserve"> </w:t>
      </w:r>
    </w:p>
    <w:p w14:paraId="4AF9A5E2" w14:textId="146C534C" w:rsidR="00B945E4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</w:r>
      <w:r w:rsidR="00B945E4" w:rsidRPr="00A434F1">
        <w:rPr>
          <w:rFonts w:cs="Arial"/>
          <w:szCs w:val="22"/>
        </w:rPr>
        <w:t>An established multi-disciplinary team of experienced staff including statisticians, trial</w:t>
      </w:r>
      <w:r w:rsidR="00B945E4">
        <w:rPr>
          <w:rFonts w:cs="Arial"/>
          <w:szCs w:val="22"/>
        </w:rPr>
        <w:t>/project</w:t>
      </w:r>
      <w:r w:rsidR="00B945E4" w:rsidRPr="00A434F1">
        <w:rPr>
          <w:rFonts w:cs="Arial"/>
          <w:szCs w:val="22"/>
        </w:rPr>
        <w:t xml:space="preserve"> managers and IT staff</w:t>
      </w:r>
      <w:r w:rsidR="00FA18CD">
        <w:rPr>
          <w:rFonts w:cs="Arial"/>
          <w:szCs w:val="22"/>
        </w:rPr>
        <w:t>.</w:t>
      </w:r>
      <w:r w:rsidR="00B945E4" w:rsidRPr="00A434F1">
        <w:rPr>
          <w:rFonts w:cs="Arial"/>
          <w:szCs w:val="22"/>
        </w:rPr>
        <w:t xml:space="preserve"> Collaborative groups</w:t>
      </w:r>
      <w:r w:rsidR="004839A4">
        <w:rPr>
          <w:rFonts w:cs="Arial"/>
          <w:szCs w:val="22"/>
        </w:rPr>
        <w:t xml:space="preserve"> or merged unit</w:t>
      </w:r>
      <w:r w:rsidR="00B945E4" w:rsidRPr="00A434F1">
        <w:rPr>
          <w:rFonts w:cs="Arial"/>
          <w:szCs w:val="22"/>
        </w:rPr>
        <w:t xml:space="preserve"> will need to explain/define how the multi-disciplinary team </w:t>
      </w:r>
      <w:r w:rsidR="009E2C88">
        <w:rPr>
          <w:rFonts w:cs="Arial"/>
          <w:szCs w:val="22"/>
        </w:rPr>
        <w:t xml:space="preserve">has been </w:t>
      </w:r>
      <w:r w:rsidR="00B945E4" w:rsidRPr="00A434F1">
        <w:rPr>
          <w:rFonts w:cs="Arial"/>
          <w:szCs w:val="22"/>
        </w:rPr>
        <w:t>established, managed and monitored and in addition, to set out</w:t>
      </w:r>
      <w:r w:rsidR="00B945E4">
        <w:rPr>
          <w:rFonts w:cs="Arial"/>
          <w:szCs w:val="22"/>
        </w:rPr>
        <w:t xml:space="preserve"> </w:t>
      </w:r>
      <w:r w:rsidR="00B945E4" w:rsidRPr="00A434F1">
        <w:rPr>
          <w:rFonts w:cs="Arial"/>
          <w:szCs w:val="22"/>
        </w:rPr>
        <w:t xml:space="preserve">a formal  approach to reviewing the individual core disciplines being provided from </w:t>
      </w:r>
      <w:r w:rsidR="00B945E4">
        <w:rPr>
          <w:rFonts w:cs="Arial"/>
          <w:szCs w:val="22"/>
        </w:rPr>
        <w:t xml:space="preserve">a different location, </w:t>
      </w:r>
      <w:r w:rsidR="00B945E4" w:rsidRPr="00A434F1">
        <w:rPr>
          <w:rFonts w:cs="Arial"/>
          <w:szCs w:val="22"/>
        </w:rPr>
        <w:t>prior to the start of any project</w:t>
      </w:r>
      <w:r w:rsidR="00B945E4">
        <w:rPr>
          <w:rFonts w:cs="Arial"/>
          <w:szCs w:val="22"/>
        </w:rPr>
        <w:t>,</w:t>
      </w:r>
      <w:r w:rsidR="00B945E4" w:rsidRPr="00A434F1">
        <w:rPr>
          <w:rFonts w:cs="Arial"/>
          <w:szCs w:val="22"/>
        </w:rPr>
        <w:t xml:space="preserve"> to ensure quality from the outset.</w:t>
      </w:r>
    </w:p>
    <w:p w14:paraId="5F0CB413" w14:textId="2E5BD7A3" w:rsidR="00AB42B6" w:rsidRDefault="00766533" w:rsidP="006E5E56">
      <w:pPr>
        <w:tabs>
          <w:tab w:val="left" w:pos="720"/>
        </w:tabs>
        <w:spacing w:after="120"/>
        <w:ind w:left="425" w:hanging="425"/>
      </w:pPr>
      <w:r>
        <w:t>c)</w:t>
      </w:r>
      <w:r>
        <w:tab/>
      </w:r>
      <w:r w:rsidR="00A4787B">
        <w:t>D</w:t>
      </w:r>
      <w:r w:rsidR="004839A4">
        <w:t>e</w:t>
      </w:r>
      <w:r w:rsidR="00A4787B">
        <w:t>monstration of</w:t>
      </w:r>
      <w:r w:rsidR="004839A4">
        <w:t xml:space="preserve"> robust leadership and </w:t>
      </w:r>
      <w:r w:rsidR="00F6080E">
        <w:t xml:space="preserve">strategic planning. </w:t>
      </w:r>
    </w:p>
    <w:p w14:paraId="39E3282C" w14:textId="77777777" w:rsidR="00B11E68" w:rsidRDefault="00B11E68" w:rsidP="006E5E56">
      <w:pPr>
        <w:pStyle w:val="ListParagraph"/>
        <w:ind w:left="0"/>
        <w:rPr>
          <w:rFonts w:cs="Arial"/>
          <w:szCs w:val="22"/>
        </w:rPr>
      </w:pPr>
    </w:p>
    <w:p w14:paraId="54F8D8E8" w14:textId="410E96F7" w:rsidR="00B11E68" w:rsidRPr="006E5E56" w:rsidRDefault="00B11E68" w:rsidP="006E5E56">
      <w:pPr>
        <w:pStyle w:val="ListParagraph"/>
        <w:spacing w:after="240"/>
        <w:ind w:left="425" w:hanging="425"/>
        <w:rPr>
          <w:rFonts w:cs="Arial"/>
          <w:b/>
          <w:sz w:val="24"/>
        </w:rPr>
      </w:pPr>
      <w:r w:rsidRPr="006E5E56">
        <w:rPr>
          <w:rFonts w:cs="Arial"/>
          <w:b/>
          <w:sz w:val="24"/>
        </w:rPr>
        <w:t>2</w:t>
      </w:r>
      <w:r w:rsidR="00EE3980" w:rsidRPr="006E5E56">
        <w:rPr>
          <w:rFonts w:cs="Arial"/>
          <w:b/>
          <w:sz w:val="24"/>
        </w:rPr>
        <w:t>.</w:t>
      </w:r>
      <w:r w:rsidR="00EE3980" w:rsidRPr="006E5E56">
        <w:rPr>
          <w:rFonts w:cs="Arial"/>
          <w:b/>
          <w:sz w:val="24"/>
        </w:rPr>
        <w:tab/>
      </w:r>
      <w:r w:rsidRPr="006E5E56">
        <w:rPr>
          <w:rFonts w:cs="Arial"/>
          <w:b/>
          <w:sz w:val="24"/>
        </w:rPr>
        <w:t xml:space="preserve">Infrastructure </w:t>
      </w:r>
    </w:p>
    <w:p w14:paraId="278E0830" w14:textId="49932E16" w:rsidR="00B945E4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a)</w:t>
      </w:r>
      <w:r>
        <w:rPr>
          <w:rFonts w:cs="Arial"/>
          <w:szCs w:val="22"/>
        </w:rPr>
        <w:tab/>
      </w:r>
      <w:r w:rsidR="00B945E4" w:rsidRPr="00A434F1">
        <w:rPr>
          <w:rFonts w:cs="Arial"/>
          <w:szCs w:val="22"/>
        </w:rPr>
        <w:t>Resources to provide adequate and stable infrastructure and senior staff as well as an ability to ensure continuity of the core disciplines.</w:t>
      </w:r>
    </w:p>
    <w:p w14:paraId="4C65485D" w14:textId="770302E6" w:rsidR="00B945E4" w:rsidRPr="00A434F1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 w:rsidRPr="00A434F1">
        <w:rPr>
          <w:rFonts w:cs="Arial"/>
          <w:szCs w:val="22"/>
        </w:rPr>
        <w:t>b)</w:t>
      </w:r>
      <w:r w:rsidRPr="00A434F1">
        <w:rPr>
          <w:rFonts w:cs="Arial"/>
          <w:szCs w:val="22"/>
        </w:rPr>
        <w:tab/>
      </w:r>
      <w:r w:rsidR="00B945E4" w:rsidRPr="00A434F1">
        <w:rPr>
          <w:rFonts w:cs="Arial"/>
          <w:szCs w:val="22"/>
        </w:rPr>
        <w:t xml:space="preserve">Adequate </w:t>
      </w:r>
      <w:r w:rsidR="00B945E4">
        <w:rPr>
          <w:rFonts w:cs="Arial"/>
          <w:szCs w:val="22"/>
        </w:rPr>
        <w:t xml:space="preserve">infrastructure </w:t>
      </w:r>
      <w:r w:rsidR="00B945E4" w:rsidRPr="00A434F1">
        <w:rPr>
          <w:rFonts w:cs="Arial"/>
          <w:szCs w:val="22"/>
        </w:rPr>
        <w:t xml:space="preserve">to support trials activity with a documented commitment to the </w:t>
      </w:r>
      <w:r w:rsidR="00B945E4">
        <w:rPr>
          <w:rFonts w:cs="Arial"/>
          <w:szCs w:val="22"/>
        </w:rPr>
        <w:t>Clinical Trials U</w:t>
      </w:r>
      <w:r w:rsidR="00B945E4" w:rsidRPr="00A434F1">
        <w:rPr>
          <w:rFonts w:cs="Arial"/>
          <w:szCs w:val="22"/>
        </w:rPr>
        <w:t>nit from the host institution</w:t>
      </w:r>
      <w:r w:rsidR="006846E8">
        <w:rPr>
          <w:rFonts w:cs="Arial"/>
          <w:szCs w:val="22"/>
        </w:rPr>
        <w:t>.</w:t>
      </w:r>
    </w:p>
    <w:p w14:paraId="66A5A155" w14:textId="08EC9454" w:rsidR="00B945E4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c)</w:t>
      </w:r>
      <w:r>
        <w:rPr>
          <w:rFonts w:cs="Arial"/>
          <w:szCs w:val="22"/>
        </w:rPr>
        <w:tab/>
      </w:r>
      <w:r w:rsidR="00B945E4" w:rsidRPr="00A434F1">
        <w:rPr>
          <w:rFonts w:cs="Arial"/>
          <w:szCs w:val="22"/>
        </w:rPr>
        <w:t xml:space="preserve">Systems </w:t>
      </w:r>
      <w:r w:rsidR="00B945E4">
        <w:rPr>
          <w:rFonts w:cs="Arial"/>
          <w:szCs w:val="22"/>
        </w:rPr>
        <w:t xml:space="preserve">and processes </w:t>
      </w:r>
      <w:r w:rsidR="00B945E4" w:rsidRPr="00A434F1">
        <w:rPr>
          <w:rFonts w:cs="Arial"/>
          <w:szCs w:val="22"/>
        </w:rPr>
        <w:t>in place for continuing professional development, including G</w:t>
      </w:r>
      <w:r w:rsidR="00B945E4">
        <w:rPr>
          <w:rFonts w:cs="Arial"/>
          <w:szCs w:val="22"/>
        </w:rPr>
        <w:t xml:space="preserve">ood </w:t>
      </w:r>
      <w:r w:rsidR="00B945E4" w:rsidRPr="00A434F1">
        <w:rPr>
          <w:rFonts w:cs="Arial"/>
          <w:szCs w:val="22"/>
        </w:rPr>
        <w:t>C</w:t>
      </w:r>
      <w:r w:rsidR="00B945E4">
        <w:rPr>
          <w:rFonts w:cs="Arial"/>
          <w:szCs w:val="22"/>
        </w:rPr>
        <w:t xml:space="preserve">linical </w:t>
      </w:r>
      <w:r w:rsidR="00B945E4" w:rsidRPr="00A434F1">
        <w:rPr>
          <w:rFonts w:cs="Arial"/>
          <w:szCs w:val="22"/>
        </w:rPr>
        <w:t>P</w:t>
      </w:r>
      <w:r w:rsidR="00B945E4">
        <w:rPr>
          <w:rFonts w:cs="Arial"/>
          <w:szCs w:val="22"/>
        </w:rPr>
        <w:t>ractice (GCP)</w:t>
      </w:r>
      <w:r w:rsidR="00B945E4" w:rsidRPr="00A434F1">
        <w:rPr>
          <w:rFonts w:cs="Arial"/>
          <w:szCs w:val="22"/>
        </w:rPr>
        <w:t xml:space="preserve"> training for all relevant staff.</w:t>
      </w:r>
    </w:p>
    <w:p w14:paraId="7B2B16B6" w14:textId="77777777" w:rsidR="00035107" w:rsidRDefault="00035107" w:rsidP="006E5E56">
      <w:pPr>
        <w:pStyle w:val="ListParagraph"/>
        <w:ind w:left="0"/>
        <w:rPr>
          <w:rFonts w:cs="Arial"/>
          <w:szCs w:val="22"/>
        </w:rPr>
      </w:pPr>
    </w:p>
    <w:p w14:paraId="16350D08" w14:textId="77777777" w:rsidR="00902D7A" w:rsidRDefault="00902D7A" w:rsidP="006E5E56">
      <w:pPr>
        <w:pStyle w:val="ListParagraph"/>
        <w:ind w:left="0"/>
        <w:rPr>
          <w:rFonts w:cs="Arial"/>
          <w:szCs w:val="22"/>
        </w:rPr>
      </w:pPr>
    </w:p>
    <w:p w14:paraId="4A06A60C" w14:textId="55CC4E14" w:rsidR="00B945E4" w:rsidRPr="006E5E56" w:rsidRDefault="00EC2771" w:rsidP="006E5E56">
      <w:pPr>
        <w:spacing w:after="240"/>
        <w:ind w:left="425" w:hanging="425"/>
        <w:rPr>
          <w:rFonts w:cs="Arial"/>
          <w:b/>
          <w:sz w:val="24"/>
        </w:rPr>
      </w:pPr>
      <w:r w:rsidRPr="006E5E56">
        <w:rPr>
          <w:rFonts w:cs="Arial"/>
          <w:b/>
          <w:sz w:val="24"/>
        </w:rPr>
        <w:t>3</w:t>
      </w:r>
      <w:r w:rsidR="007C069E" w:rsidRPr="006E5E56">
        <w:rPr>
          <w:rFonts w:cs="Arial"/>
          <w:b/>
          <w:sz w:val="24"/>
        </w:rPr>
        <w:t xml:space="preserve">. </w:t>
      </w:r>
      <w:r w:rsidR="007C069E" w:rsidRPr="006E5E56">
        <w:rPr>
          <w:rFonts w:cs="Arial"/>
          <w:b/>
          <w:sz w:val="24"/>
        </w:rPr>
        <w:tab/>
      </w:r>
      <w:r w:rsidR="00B945E4" w:rsidRPr="006E5E56">
        <w:rPr>
          <w:rFonts w:cs="Arial"/>
          <w:b/>
          <w:sz w:val="24"/>
        </w:rPr>
        <w:t>Quality</w:t>
      </w:r>
    </w:p>
    <w:p w14:paraId="7C5B6B02" w14:textId="0AB2D045" w:rsidR="00B945E4" w:rsidRPr="00A434F1" w:rsidRDefault="00766533" w:rsidP="006E5E56">
      <w:pPr>
        <w:spacing w:after="120"/>
        <w:ind w:left="425" w:hanging="425"/>
        <w:rPr>
          <w:rFonts w:cs="Arial"/>
          <w:szCs w:val="22"/>
        </w:rPr>
      </w:pPr>
      <w:r w:rsidRPr="00A434F1">
        <w:rPr>
          <w:rFonts w:cs="Arial"/>
          <w:szCs w:val="22"/>
        </w:rPr>
        <w:t>a)</w:t>
      </w:r>
      <w:r w:rsidRPr="00A434F1">
        <w:rPr>
          <w:rFonts w:cs="Arial"/>
          <w:szCs w:val="22"/>
        </w:rPr>
        <w:tab/>
      </w:r>
      <w:r w:rsidR="00B945E4" w:rsidRPr="00A434F1">
        <w:rPr>
          <w:rFonts w:cs="Arial"/>
          <w:szCs w:val="22"/>
        </w:rPr>
        <w:t xml:space="preserve">Systems </w:t>
      </w:r>
      <w:r w:rsidR="00B945E4">
        <w:rPr>
          <w:rFonts w:cs="Arial"/>
          <w:szCs w:val="22"/>
        </w:rPr>
        <w:t xml:space="preserve">and processes </w:t>
      </w:r>
      <w:r w:rsidR="00B945E4" w:rsidRPr="00A434F1">
        <w:rPr>
          <w:rFonts w:cs="Arial"/>
          <w:szCs w:val="22"/>
        </w:rPr>
        <w:t xml:space="preserve">in place to ensure that staff work to appropriate guidelines and standards. </w:t>
      </w:r>
    </w:p>
    <w:p w14:paraId="5ECE1E4F" w14:textId="15B5601B" w:rsidR="00B945E4" w:rsidRPr="00A434F1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 w:rsidRPr="00A434F1">
        <w:rPr>
          <w:rFonts w:cs="Arial"/>
          <w:szCs w:val="22"/>
        </w:rPr>
        <w:lastRenderedPageBreak/>
        <w:t>b)</w:t>
      </w:r>
      <w:r w:rsidRPr="00A434F1">
        <w:rPr>
          <w:rFonts w:cs="Arial"/>
          <w:szCs w:val="22"/>
        </w:rPr>
        <w:tab/>
      </w:r>
      <w:r w:rsidR="00B945E4">
        <w:rPr>
          <w:rFonts w:cs="Arial"/>
          <w:szCs w:val="22"/>
        </w:rPr>
        <w:t>S</w:t>
      </w:r>
      <w:r w:rsidR="00B945E4" w:rsidRPr="00A434F1">
        <w:rPr>
          <w:rFonts w:cs="Arial"/>
          <w:szCs w:val="22"/>
        </w:rPr>
        <w:t xml:space="preserve">ystems </w:t>
      </w:r>
      <w:r w:rsidR="00B945E4">
        <w:rPr>
          <w:rFonts w:cs="Arial"/>
          <w:szCs w:val="22"/>
        </w:rPr>
        <w:t xml:space="preserve">and processes </w:t>
      </w:r>
      <w:r w:rsidR="00B945E4" w:rsidRPr="00A434F1">
        <w:rPr>
          <w:rFonts w:cs="Arial"/>
          <w:szCs w:val="22"/>
        </w:rPr>
        <w:t xml:space="preserve">in place to meet </w:t>
      </w:r>
      <w:r w:rsidR="00B945E4">
        <w:rPr>
          <w:rFonts w:cs="Arial"/>
          <w:szCs w:val="22"/>
        </w:rPr>
        <w:t xml:space="preserve">appropriate regulations and legislation (e.g. </w:t>
      </w:r>
      <w:r w:rsidR="00B945E4" w:rsidRPr="00A434F1">
        <w:rPr>
          <w:rFonts w:cs="Arial"/>
          <w:szCs w:val="22"/>
        </w:rPr>
        <w:t>the principles of GCP,</w:t>
      </w:r>
      <w:r w:rsidR="00647C63">
        <w:t>UK Policy Framework for Health and Social Care Research, the Data Protection Act and any other UK regulations and legislation relating to Clinical Trials</w:t>
      </w:r>
      <w:r w:rsidR="00647C63" w:rsidRPr="00A434F1" w:rsidDel="00647C63">
        <w:rPr>
          <w:rFonts w:cs="Arial"/>
          <w:szCs w:val="22"/>
        </w:rPr>
        <w:t xml:space="preserve"> </w:t>
      </w:r>
      <w:r w:rsidR="00B945E4">
        <w:rPr>
          <w:rFonts w:cs="Arial"/>
          <w:szCs w:val="22"/>
        </w:rPr>
        <w:t>).</w:t>
      </w:r>
    </w:p>
    <w:p w14:paraId="1F81EC46" w14:textId="5355D385" w:rsidR="00B945E4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c)</w:t>
      </w:r>
      <w:r>
        <w:rPr>
          <w:rFonts w:cs="Arial"/>
          <w:szCs w:val="22"/>
        </w:rPr>
        <w:tab/>
      </w:r>
      <w:r w:rsidR="00B945E4" w:rsidRPr="00A434F1">
        <w:rPr>
          <w:rFonts w:cs="Arial"/>
          <w:szCs w:val="22"/>
        </w:rPr>
        <w:t xml:space="preserve">Systems </w:t>
      </w:r>
      <w:r w:rsidR="00B945E4">
        <w:rPr>
          <w:rFonts w:cs="Arial"/>
          <w:szCs w:val="22"/>
        </w:rPr>
        <w:t xml:space="preserve">and processes </w:t>
      </w:r>
      <w:r w:rsidR="00B945E4" w:rsidRPr="00A434F1">
        <w:rPr>
          <w:rFonts w:cs="Arial"/>
          <w:szCs w:val="22"/>
        </w:rPr>
        <w:t>in place for risk assessment to guide appropriate monitoring of the whole study process</w:t>
      </w:r>
      <w:r w:rsidR="00B945E4">
        <w:rPr>
          <w:rFonts w:cs="Arial"/>
          <w:szCs w:val="22"/>
        </w:rPr>
        <w:t>,</w:t>
      </w:r>
      <w:r w:rsidR="00B945E4" w:rsidRPr="00A434F1">
        <w:rPr>
          <w:rFonts w:cs="Arial"/>
          <w:szCs w:val="22"/>
        </w:rPr>
        <w:t xml:space="preserve"> centrally and at clinical sites.</w:t>
      </w:r>
    </w:p>
    <w:p w14:paraId="24D6F9F5" w14:textId="529FB0FE" w:rsidR="00B945E4" w:rsidRPr="00A434F1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 w:rsidRPr="00A434F1">
        <w:rPr>
          <w:rFonts w:cs="Arial"/>
          <w:szCs w:val="22"/>
        </w:rPr>
        <w:t>d)</w:t>
      </w:r>
      <w:r w:rsidRPr="00A434F1">
        <w:rPr>
          <w:rFonts w:cs="Arial"/>
          <w:szCs w:val="22"/>
        </w:rPr>
        <w:tab/>
      </w:r>
      <w:r w:rsidR="00B945E4" w:rsidRPr="00A434F1">
        <w:rPr>
          <w:rFonts w:cs="Arial"/>
          <w:szCs w:val="22"/>
        </w:rPr>
        <w:t xml:space="preserve">Systems </w:t>
      </w:r>
      <w:r w:rsidR="00B945E4">
        <w:rPr>
          <w:rFonts w:cs="Arial"/>
          <w:szCs w:val="22"/>
        </w:rPr>
        <w:t xml:space="preserve">and processes </w:t>
      </w:r>
      <w:r w:rsidR="00B945E4" w:rsidRPr="00A434F1">
        <w:rPr>
          <w:rFonts w:cs="Arial"/>
          <w:szCs w:val="22"/>
        </w:rPr>
        <w:t>i</w:t>
      </w:r>
      <w:r w:rsidR="00B945E4">
        <w:rPr>
          <w:rFonts w:cs="Arial"/>
          <w:szCs w:val="22"/>
        </w:rPr>
        <w:t xml:space="preserve">n place to archive </w:t>
      </w:r>
      <w:r w:rsidR="00B945E4" w:rsidRPr="00A434F1">
        <w:rPr>
          <w:rFonts w:cs="Arial"/>
          <w:szCs w:val="22"/>
        </w:rPr>
        <w:t xml:space="preserve">study data </w:t>
      </w:r>
      <w:r w:rsidR="00B945E4">
        <w:rPr>
          <w:rFonts w:cs="Arial"/>
          <w:szCs w:val="22"/>
        </w:rPr>
        <w:t>at the end of a study and to retrieve it subsequently.</w:t>
      </w:r>
    </w:p>
    <w:p w14:paraId="663FF1AF" w14:textId="77777777" w:rsidR="00B945E4" w:rsidRDefault="00B945E4" w:rsidP="006E5E56">
      <w:pPr>
        <w:rPr>
          <w:rFonts w:cs="Arial"/>
          <w:b/>
          <w:szCs w:val="22"/>
        </w:rPr>
      </w:pPr>
    </w:p>
    <w:p w14:paraId="3E27C3EE" w14:textId="77777777" w:rsidR="00B945E4" w:rsidRDefault="00B945E4" w:rsidP="006E5E56">
      <w:pPr>
        <w:rPr>
          <w:rFonts w:cs="Arial"/>
          <w:b/>
          <w:szCs w:val="22"/>
        </w:rPr>
      </w:pPr>
    </w:p>
    <w:p w14:paraId="169456E2" w14:textId="70D265FE" w:rsidR="00B945E4" w:rsidRPr="006E5E56" w:rsidRDefault="00766533" w:rsidP="006E5E56">
      <w:pPr>
        <w:ind w:left="425" w:hanging="425"/>
        <w:rPr>
          <w:rFonts w:cs="Arial"/>
          <w:b/>
          <w:sz w:val="24"/>
        </w:rPr>
      </w:pPr>
      <w:r w:rsidRPr="00EE3980">
        <w:rPr>
          <w:rFonts w:cs="Arial"/>
          <w:b/>
          <w:sz w:val="24"/>
        </w:rPr>
        <w:t>4.</w:t>
      </w:r>
      <w:r w:rsidRPr="00EE3980">
        <w:rPr>
          <w:rFonts w:cs="Arial"/>
          <w:b/>
          <w:sz w:val="24"/>
        </w:rPr>
        <w:tab/>
      </w:r>
      <w:r w:rsidR="00B945E4" w:rsidRPr="006E5E56">
        <w:rPr>
          <w:rFonts w:cs="Arial"/>
          <w:b/>
          <w:sz w:val="24"/>
        </w:rPr>
        <w:t>Information Systems</w:t>
      </w:r>
    </w:p>
    <w:p w14:paraId="53D5D246" w14:textId="77777777" w:rsidR="00B945E4" w:rsidRPr="00A434F1" w:rsidRDefault="00B945E4" w:rsidP="006E5E56">
      <w:pPr>
        <w:rPr>
          <w:rFonts w:cs="Arial"/>
          <w:b/>
          <w:szCs w:val="22"/>
        </w:rPr>
      </w:pPr>
    </w:p>
    <w:p w14:paraId="4CF0ADC8" w14:textId="04F99D3E" w:rsidR="00B945E4" w:rsidRPr="00A434F1" w:rsidRDefault="00766533" w:rsidP="006E5E56">
      <w:pPr>
        <w:spacing w:after="120"/>
        <w:ind w:left="426" w:hanging="426"/>
        <w:rPr>
          <w:rFonts w:cs="Arial"/>
          <w:szCs w:val="22"/>
        </w:rPr>
      </w:pPr>
      <w:r w:rsidRPr="00A434F1">
        <w:rPr>
          <w:rFonts w:cs="Arial"/>
          <w:szCs w:val="22"/>
        </w:rPr>
        <w:t>a)</w:t>
      </w:r>
      <w:r w:rsidRPr="00A434F1">
        <w:rPr>
          <w:rFonts w:cs="Arial"/>
          <w:szCs w:val="22"/>
        </w:rPr>
        <w:tab/>
      </w:r>
      <w:r w:rsidR="00B945E4" w:rsidRPr="00A434F1">
        <w:rPr>
          <w:rFonts w:cs="Arial"/>
          <w:szCs w:val="22"/>
        </w:rPr>
        <w:t xml:space="preserve">Robust </w:t>
      </w:r>
      <w:r w:rsidR="00B945E4">
        <w:rPr>
          <w:rFonts w:cs="Arial"/>
          <w:szCs w:val="22"/>
        </w:rPr>
        <w:t xml:space="preserve">and secure </w:t>
      </w:r>
      <w:r w:rsidR="00B945E4" w:rsidRPr="00A434F1">
        <w:rPr>
          <w:rFonts w:cs="Arial"/>
          <w:szCs w:val="22"/>
        </w:rPr>
        <w:t>information systems.</w:t>
      </w:r>
    </w:p>
    <w:p w14:paraId="013D30CB" w14:textId="021BF102" w:rsidR="00B945E4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</w:r>
      <w:r w:rsidR="00B945E4">
        <w:rPr>
          <w:rFonts w:cs="Arial"/>
          <w:szCs w:val="22"/>
        </w:rPr>
        <w:t>Access</w:t>
      </w:r>
      <w:r w:rsidR="00B945E4" w:rsidRPr="00A434F1">
        <w:rPr>
          <w:rFonts w:cs="Arial"/>
          <w:szCs w:val="22"/>
        </w:rPr>
        <w:t xml:space="preserve"> to a secure randomisation system, as appropriate.</w:t>
      </w:r>
    </w:p>
    <w:p w14:paraId="339262B9" w14:textId="00456AB9" w:rsidR="00F6080E" w:rsidRPr="00F6080E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 w:rsidRPr="00F6080E">
        <w:rPr>
          <w:rFonts w:cs="Arial"/>
          <w:szCs w:val="22"/>
        </w:rPr>
        <w:t>c)</w:t>
      </w:r>
      <w:r w:rsidRPr="00F6080E">
        <w:rPr>
          <w:rFonts w:cs="Arial"/>
          <w:szCs w:val="22"/>
        </w:rPr>
        <w:tab/>
      </w:r>
      <w:r w:rsidR="006846E8" w:rsidRPr="00756097">
        <w:rPr>
          <w:rFonts w:cs="Arial"/>
          <w:szCs w:val="22"/>
        </w:rPr>
        <w:t xml:space="preserve">Evidence of </w:t>
      </w:r>
      <w:r w:rsidR="00F6080E" w:rsidRPr="0041230B">
        <w:rPr>
          <w:rFonts w:cs="Arial"/>
          <w:szCs w:val="22"/>
        </w:rPr>
        <w:t xml:space="preserve">satisfactory validation process. </w:t>
      </w:r>
    </w:p>
    <w:p w14:paraId="2B2B9EC3" w14:textId="37E5A706" w:rsidR="006846E8" w:rsidRPr="00F6080E" w:rsidRDefault="00766533" w:rsidP="006E5E56">
      <w:pPr>
        <w:tabs>
          <w:tab w:val="left" w:pos="720"/>
        </w:tabs>
        <w:spacing w:after="120"/>
        <w:ind w:left="425" w:hanging="425"/>
        <w:rPr>
          <w:rFonts w:cs="Arial"/>
          <w:szCs w:val="22"/>
        </w:rPr>
      </w:pPr>
      <w:r w:rsidRPr="00F6080E">
        <w:rPr>
          <w:rFonts w:cs="Arial"/>
          <w:szCs w:val="22"/>
        </w:rPr>
        <w:t>d)</w:t>
      </w:r>
      <w:r w:rsidRPr="00F6080E">
        <w:rPr>
          <w:rFonts w:cs="Arial"/>
          <w:szCs w:val="22"/>
        </w:rPr>
        <w:tab/>
      </w:r>
      <w:r w:rsidR="00F6080E" w:rsidRPr="00756097">
        <w:rPr>
          <w:rFonts w:cs="Arial"/>
          <w:szCs w:val="22"/>
        </w:rPr>
        <w:t xml:space="preserve">Evidence of adequate staffing to support Information system(s). </w:t>
      </w:r>
    </w:p>
    <w:p w14:paraId="43766DF7" w14:textId="77777777" w:rsidR="00B945E4" w:rsidRDefault="00B945E4" w:rsidP="006E5E56">
      <w:pPr>
        <w:rPr>
          <w:rFonts w:cs="Arial"/>
          <w:szCs w:val="22"/>
        </w:rPr>
      </w:pPr>
    </w:p>
    <w:p w14:paraId="31656F61" w14:textId="471E917C" w:rsidR="00B945E4" w:rsidRPr="00A434F1" w:rsidRDefault="00B945E4" w:rsidP="006E5E56">
      <w:pPr>
        <w:rPr>
          <w:rFonts w:cs="Arial"/>
          <w:szCs w:val="22"/>
        </w:rPr>
      </w:pPr>
    </w:p>
    <w:p w14:paraId="1B6E9D21" w14:textId="4420C300" w:rsidR="000D2EA6" w:rsidRPr="006E5E56" w:rsidRDefault="00766533" w:rsidP="006E5E56">
      <w:pPr>
        <w:ind w:left="425" w:hanging="425"/>
        <w:rPr>
          <w:b/>
          <w:sz w:val="24"/>
        </w:rPr>
      </w:pPr>
      <w:r w:rsidRPr="00EE3980">
        <w:rPr>
          <w:b/>
          <w:sz w:val="24"/>
        </w:rPr>
        <w:t>5.</w:t>
      </w:r>
      <w:r w:rsidRPr="00EE3980">
        <w:rPr>
          <w:b/>
          <w:sz w:val="24"/>
        </w:rPr>
        <w:tab/>
      </w:r>
      <w:r w:rsidR="00F6080E" w:rsidRPr="006E5E56">
        <w:rPr>
          <w:b/>
          <w:sz w:val="24"/>
        </w:rPr>
        <w:t>Publications</w:t>
      </w:r>
    </w:p>
    <w:p w14:paraId="7D8EBA00" w14:textId="77777777" w:rsidR="00B945E4" w:rsidRDefault="00B945E4"/>
    <w:p w14:paraId="678288FC" w14:textId="44CAAC7C" w:rsidR="000D2EA6" w:rsidRDefault="00766533" w:rsidP="006E5E56">
      <w:pPr>
        <w:ind w:left="425" w:hanging="425"/>
      </w:pPr>
      <w:r>
        <w:t>a)</w:t>
      </w:r>
      <w:r>
        <w:tab/>
      </w:r>
      <w:r w:rsidR="00F6080E">
        <w:t>Evidence of a strong track record of publications in a peer reviewed journal</w:t>
      </w:r>
      <w:r w:rsidR="00E56C8F">
        <w:t xml:space="preserve"> within the last 5 years</w:t>
      </w:r>
      <w:r w:rsidR="00F6080E">
        <w:t>.</w:t>
      </w:r>
      <w:r w:rsidR="008B46EA">
        <w:t xml:space="preserve"> </w:t>
      </w:r>
    </w:p>
    <w:p w14:paraId="15CE1679" w14:textId="0E702F8F" w:rsidR="00AB42B6" w:rsidRDefault="00AB42B6">
      <w:pPr>
        <w:pStyle w:val="ListParagraph"/>
      </w:pPr>
    </w:p>
    <w:p w14:paraId="652C8273" w14:textId="66CA8C20" w:rsidR="00471BF4" w:rsidRDefault="00471BF4">
      <w:pPr>
        <w:spacing w:after="200" w:line="276" w:lineRule="auto"/>
      </w:pPr>
      <w:r>
        <w:br w:type="page"/>
      </w:r>
    </w:p>
    <w:p w14:paraId="036E8A89" w14:textId="77777777" w:rsidR="00902D7A" w:rsidRDefault="00902D7A" w:rsidP="001F7DBD"/>
    <w:p w14:paraId="015253CC" w14:textId="77777777" w:rsidR="00B945E4" w:rsidRPr="006E5E56" w:rsidRDefault="00B6610E" w:rsidP="006E5E56">
      <w:pPr>
        <w:pStyle w:val="Heading1"/>
        <w:overflowPunct w:val="0"/>
        <w:autoSpaceDE w:val="0"/>
        <w:autoSpaceDN w:val="0"/>
        <w:adjustRightInd w:val="0"/>
        <w:spacing w:after="240"/>
        <w:textAlignment w:val="baseline"/>
        <w:rPr>
          <w:rFonts w:cstheme="majorBidi"/>
          <w:b w:val="0"/>
          <w:color w:val="00387E"/>
          <w:sz w:val="48"/>
        </w:rPr>
      </w:pPr>
      <w:r w:rsidRPr="006E5E56">
        <w:rPr>
          <w:rFonts w:cstheme="majorBidi"/>
          <w:color w:val="00387E"/>
          <w:sz w:val="48"/>
        </w:rPr>
        <w:t>Appendix 2</w:t>
      </w:r>
    </w:p>
    <w:p w14:paraId="2345D0B4" w14:textId="77777777" w:rsidR="00B945E4" w:rsidRDefault="00B945E4"/>
    <w:p w14:paraId="48644B54" w14:textId="77777777" w:rsidR="00B945E4" w:rsidRDefault="00B945E4" w:rsidP="006E5E56">
      <w:pPr>
        <w:rPr>
          <w:b/>
        </w:rPr>
      </w:pPr>
      <w:r>
        <w:rPr>
          <w:b/>
        </w:rPr>
        <w:t>Evaluation C</w:t>
      </w:r>
      <w:r w:rsidRPr="00946A9A">
        <w:rPr>
          <w:b/>
        </w:rPr>
        <w:t>riteria for UKCRC Registration</w:t>
      </w:r>
      <w:r>
        <w:rPr>
          <w:b/>
        </w:rPr>
        <w:t xml:space="preserve"> of Clinical Trials Units</w:t>
      </w:r>
    </w:p>
    <w:p w14:paraId="4AAAA95C" w14:textId="77777777" w:rsidR="00B945E4" w:rsidRDefault="00B945E4" w:rsidP="006E5E56">
      <w:pPr>
        <w:rPr>
          <w:b/>
        </w:rPr>
      </w:pPr>
    </w:p>
    <w:p w14:paraId="10301214" w14:textId="77777777" w:rsidR="00FF50FB" w:rsidRDefault="00FF50FB" w:rsidP="006E5E56">
      <w:pPr>
        <w:rPr>
          <w:b/>
        </w:rPr>
      </w:pPr>
    </w:p>
    <w:p w14:paraId="1F325313" w14:textId="77777777" w:rsidR="00B945E4" w:rsidRPr="006E5E56" w:rsidRDefault="00B945E4" w:rsidP="006E5E56">
      <w:pPr>
        <w:spacing w:after="240"/>
        <w:rPr>
          <w:b/>
          <w:sz w:val="24"/>
        </w:rPr>
      </w:pPr>
      <w:r w:rsidRPr="006E5E56">
        <w:rPr>
          <w:b/>
          <w:sz w:val="24"/>
        </w:rPr>
        <w:t>Expertise, Continuity and Stability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195"/>
      </w:tblGrid>
      <w:tr w:rsidR="00902D7A" w:rsidRPr="00946A9A" w14:paraId="71A79B05" w14:textId="77777777" w:rsidTr="006E5E56">
        <w:trPr>
          <w:cantSplit/>
          <w:trHeight w:val="79"/>
          <w:tblHeader/>
        </w:trPr>
        <w:tc>
          <w:tcPr>
            <w:tcW w:w="2262" w:type="pct"/>
            <w:shd w:val="clear" w:color="auto" w:fill="DBE5F1" w:themeFill="accent1" w:themeFillTint="33"/>
          </w:tcPr>
          <w:p w14:paraId="50D7C778" w14:textId="77777777" w:rsidR="005962A9" w:rsidRPr="00946A9A" w:rsidRDefault="005962A9" w:rsidP="006E5E56">
            <w:pPr>
              <w:rPr>
                <w:b/>
              </w:rPr>
            </w:pPr>
            <w:r w:rsidRPr="00946A9A">
              <w:rPr>
                <w:b/>
              </w:rPr>
              <w:t>Competency</w:t>
            </w:r>
          </w:p>
        </w:tc>
        <w:tc>
          <w:tcPr>
            <w:tcW w:w="2738" w:type="pct"/>
            <w:shd w:val="clear" w:color="auto" w:fill="DBE5F1" w:themeFill="accent1" w:themeFillTint="33"/>
          </w:tcPr>
          <w:p w14:paraId="010C37BD" w14:textId="77777777" w:rsidR="005962A9" w:rsidRPr="00946A9A" w:rsidRDefault="005962A9" w:rsidP="006E5E56">
            <w:pPr>
              <w:rPr>
                <w:b/>
              </w:rPr>
            </w:pPr>
            <w:r w:rsidRPr="00946A9A">
              <w:rPr>
                <w:b/>
              </w:rPr>
              <w:t xml:space="preserve">Evaluation </w:t>
            </w:r>
            <w:r>
              <w:rPr>
                <w:b/>
              </w:rPr>
              <w:t>C</w:t>
            </w:r>
            <w:r w:rsidRPr="00946A9A">
              <w:rPr>
                <w:b/>
              </w:rPr>
              <w:t xml:space="preserve">riteria </w:t>
            </w:r>
            <w:r>
              <w:rPr>
                <w:b/>
              </w:rPr>
              <w:t>for Full Registration</w:t>
            </w:r>
          </w:p>
        </w:tc>
      </w:tr>
      <w:tr w:rsidR="00902D7A" w14:paraId="77169374" w14:textId="77777777" w:rsidTr="001F7DBD">
        <w:trPr>
          <w:cantSplit/>
        </w:trPr>
        <w:tc>
          <w:tcPr>
            <w:tcW w:w="2262" w:type="pct"/>
            <w:tcMar>
              <w:top w:w="113" w:type="dxa"/>
              <w:bottom w:w="113" w:type="dxa"/>
            </w:tcMar>
          </w:tcPr>
          <w:p w14:paraId="18C4E24B" w14:textId="77777777" w:rsidR="005962A9" w:rsidRDefault="005962A9" w:rsidP="006E5E56">
            <w:r w:rsidRPr="00A434F1">
              <w:rPr>
                <w:rFonts w:cs="Arial"/>
                <w:szCs w:val="22"/>
              </w:rPr>
              <w:t xml:space="preserve">Knowledge, experience and a track record of coordinating multi-centre clinical </w:t>
            </w:r>
            <w:r>
              <w:rPr>
                <w:rFonts w:cs="Arial"/>
                <w:szCs w:val="22"/>
              </w:rPr>
              <w:t xml:space="preserve">research </w:t>
            </w:r>
            <w:r w:rsidRPr="00A434F1">
              <w:rPr>
                <w:rFonts w:cs="Arial"/>
                <w:szCs w:val="22"/>
              </w:rPr>
              <w:t>studies from design and initiation to publication in peer reviewed journals</w:t>
            </w:r>
            <w:r>
              <w:rPr>
                <w:rFonts w:cs="Arial"/>
                <w:szCs w:val="22"/>
              </w:rPr>
              <w:t>, with good multi-disciplinary working relationships with investigators, clinicians, academics and experts from other specialities.</w:t>
            </w:r>
          </w:p>
        </w:tc>
        <w:tc>
          <w:tcPr>
            <w:tcW w:w="2738" w:type="pct"/>
            <w:tcMar>
              <w:top w:w="113" w:type="dxa"/>
              <w:bottom w:w="113" w:type="dxa"/>
            </w:tcMar>
          </w:tcPr>
          <w:p w14:paraId="6CD8C224" w14:textId="31151618" w:rsidR="005962A9" w:rsidRDefault="005962A9" w:rsidP="006E5E56">
            <w:pPr>
              <w:spacing w:after="120"/>
              <w:ind w:left="375" w:hanging="369"/>
            </w:pPr>
            <w:r>
              <w:rPr>
                <w:b/>
              </w:rPr>
              <w:t xml:space="preserve">1.1 </w:t>
            </w:r>
            <w:r w:rsidR="00F159D2">
              <w:t>F</w:t>
            </w:r>
            <w:r>
              <w:t>ive open to recruitment/in follow-up/in analysis (at least two open) multi-centre randomised controlled trials (phase II-IV) or other well-designed studies, of which at least one has been funded by open national competition with full peer-review</w:t>
            </w:r>
            <w:r>
              <w:rPr>
                <w:rStyle w:val="FootnoteReference"/>
              </w:rPr>
              <w:footnoteReference w:id="3"/>
            </w:r>
            <w:r>
              <w:t xml:space="preserve"> and at least one must be a randomised controlled trial (RCT).</w:t>
            </w:r>
          </w:p>
          <w:p w14:paraId="640D6F82" w14:textId="77777777" w:rsidR="005962A9" w:rsidRDefault="005962A9" w:rsidP="006E5E56">
            <w:pPr>
              <w:spacing w:after="120"/>
              <w:ind w:left="375" w:hanging="369"/>
            </w:pPr>
            <w:r>
              <w:rPr>
                <w:b/>
              </w:rPr>
              <w:t>1.2</w:t>
            </w:r>
            <w:r>
              <w:t xml:space="preserve"> Evidence of being involved in the design, conduct and analysis of the unit’s studies.</w:t>
            </w:r>
          </w:p>
          <w:p w14:paraId="124604AC" w14:textId="635E243E" w:rsidR="005962A9" w:rsidRDefault="005962A9" w:rsidP="00E72B33">
            <w:pPr>
              <w:spacing w:after="120"/>
              <w:ind w:left="375" w:hanging="369"/>
            </w:pPr>
            <w:r w:rsidRPr="00621B17">
              <w:rPr>
                <w:b/>
              </w:rPr>
              <w:t>1.3</w:t>
            </w:r>
            <w:r>
              <w:t xml:space="preserve"> At least three peer reviewed trial publications from the Clinical Trials Unit (CTU) of a recent existing/closed study</w:t>
            </w:r>
            <w:r w:rsidR="00E56C8F">
              <w:t xml:space="preserve"> within the last 5 years</w:t>
            </w:r>
            <w:r>
              <w:t>. (Can be protocol publications from different studies but must include one final analysis)</w:t>
            </w:r>
            <w:r w:rsidR="00222CEE">
              <w:t>.  See item 1.</w:t>
            </w:r>
            <w:r w:rsidR="00E72B33">
              <w:t xml:space="preserve">16 </w:t>
            </w:r>
            <w:r w:rsidR="00222CEE">
              <w:t>for further details.</w:t>
            </w:r>
          </w:p>
        </w:tc>
      </w:tr>
      <w:tr w:rsidR="00902D7A" w14:paraId="2824595A" w14:textId="77777777" w:rsidTr="001F7DBD">
        <w:trPr>
          <w:cantSplit/>
          <w:trHeight w:val="2294"/>
        </w:trPr>
        <w:tc>
          <w:tcPr>
            <w:tcW w:w="2262" w:type="pct"/>
            <w:tcMar>
              <w:top w:w="113" w:type="dxa"/>
              <w:bottom w:w="113" w:type="dxa"/>
            </w:tcMar>
          </w:tcPr>
          <w:p w14:paraId="6CDC38AF" w14:textId="7BFF2E47" w:rsidR="005962A9" w:rsidRDefault="005962A9" w:rsidP="006E5E56">
            <w:r>
              <w:rPr>
                <w:rFonts w:cs="Arial"/>
                <w:szCs w:val="22"/>
              </w:rPr>
              <w:t>An es</w:t>
            </w:r>
            <w:r w:rsidRPr="00A434F1">
              <w:rPr>
                <w:rFonts w:cs="Arial"/>
                <w:szCs w:val="22"/>
              </w:rPr>
              <w:t>tablished multi-disciplinary team of experienced staff including statisticians, trial</w:t>
            </w:r>
            <w:r>
              <w:rPr>
                <w:rFonts w:cs="Arial"/>
                <w:szCs w:val="22"/>
              </w:rPr>
              <w:t>/project</w:t>
            </w:r>
            <w:r w:rsidRPr="00A434F1">
              <w:rPr>
                <w:rFonts w:cs="Arial"/>
                <w:szCs w:val="22"/>
              </w:rPr>
              <w:t xml:space="preserve"> managers and IT staff</w:t>
            </w:r>
            <w:r>
              <w:rPr>
                <w:rFonts w:cs="Arial"/>
                <w:szCs w:val="22"/>
              </w:rPr>
              <w:t>.</w:t>
            </w:r>
            <w:r w:rsidRPr="00A434F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738" w:type="pct"/>
            <w:tcMar>
              <w:top w:w="113" w:type="dxa"/>
              <w:bottom w:w="113" w:type="dxa"/>
            </w:tcMar>
          </w:tcPr>
          <w:p w14:paraId="1CF0215B" w14:textId="7C7BE3B7" w:rsidR="005962A9" w:rsidRDefault="005962A9" w:rsidP="006E5E56">
            <w:pPr>
              <w:spacing w:after="120"/>
              <w:ind w:left="369" w:hanging="369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1.4</w:t>
            </w:r>
            <w:r w:rsidRPr="007E0333">
              <w:rPr>
                <w:rFonts w:cs="Arial"/>
                <w:b/>
                <w:szCs w:val="22"/>
              </w:rPr>
              <w:t xml:space="preserve"> </w:t>
            </w:r>
            <w:r w:rsidRPr="00B6610E">
              <w:rPr>
                <w:rFonts w:cs="Arial"/>
                <w:szCs w:val="22"/>
              </w:rPr>
              <w:t xml:space="preserve">At least </w:t>
            </w:r>
            <w:r w:rsidRPr="00035107">
              <w:rPr>
                <w:rFonts w:cs="Arial"/>
                <w:szCs w:val="22"/>
              </w:rPr>
              <w:t>two statistician</w:t>
            </w:r>
            <w:r w:rsidRPr="00B6610E">
              <w:rPr>
                <w:rFonts w:cs="Arial"/>
                <w:szCs w:val="22"/>
              </w:rPr>
              <w:t xml:space="preserve">s (with one that has at least five years’ relevant experience), </w:t>
            </w:r>
            <w:r w:rsidRPr="00035107">
              <w:rPr>
                <w:rFonts w:cs="Arial"/>
                <w:szCs w:val="22"/>
              </w:rPr>
              <w:t>at least two trial/project manager</w:t>
            </w:r>
            <w:r w:rsidRPr="00B6610E">
              <w:rPr>
                <w:rFonts w:cs="Arial"/>
                <w:szCs w:val="22"/>
              </w:rPr>
              <w:t>s (one with at least five years’ relevant experience) and</w:t>
            </w:r>
            <w:r w:rsidR="00E768C0">
              <w:rPr>
                <w:rFonts w:cs="Arial"/>
                <w:szCs w:val="22"/>
              </w:rPr>
              <w:t xml:space="preserve"> an appropriate level (for internally hosted systems, this would usually be at least two persons, for externally hosted systems this would usually be a minimum of one person) of </w:t>
            </w:r>
            <w:r w:rsidRPr="00035107">
              <w:rPr>
                <w:rFonts w:cs="Arial"/>
                <w:szCs w:val="22"/>
              </w:rPr>
              <w:t>IT/IS person</w:t>
            </w:r>
            <w:r>
              <w:rPr>
                <w:rFonts w:cs="Arial"/>
                <w:szCs w:val="22"/>
              </w:rPr>
              <w:t>s</w:t>
            </w:r>
            <w:r w:rsidRPr="00B6610E">
              <w:rPr>
                <w:rFonts w:cs="Arial"/>
                <w:szCs w:val="22"/>
              </w:rPr>
              <w:t xml:space="preserve"> (with at least </w:t>
            </w:r>
            <w:r>
              <w:rPr>
                <w:rFonts w:cs="Arial"/>
                <w:szCs w:val="22"/>
              </w:rPr>
              <w:t>three</w:t>
            </w:r>
            <w:r w:rsidRPr="00B6610E">
              <w:rPr>
                <w:rFonts w:cs="Arial"/>
                <w:szCs w:val="22"/>
              </w:rPr>
              <w:t xml:space="preserve"> </w:t>
            </w:r>
            <w:r w:rsidR="006E5E56" w:rsidRPr="00B6610E">
              <w:rPr>
                <w:rFonts w:cs="Arial"/>
                <w:szCs w:val="22"/>
              </w:rPr>
              <w:t>years’ experience</w:t>
            </w:r>
            <w:r w:rsidRPr="00B6610E">
              <w:rPr>
                <w:rFonts w:cs="Arial"/>
                <w:szCs w:val="22"/>
              </w:rPr>
              <w:t xml:space="preserve">), ideally </w:t>
            </w:r>
            <w:r>
              <w:rPr>
                <w:rFonts w:cs="Arial"/>
                <w:szCs w:val="22"/>
              </w:rPr>
              <w:t xml:space="preserve">all funded independently of specific research grants. </w:t>
            </w:r>
          </w:p>
          <w:p w14:paraId="52A040DF" w14:textId="7E33157C" w:rsidR="005962A9" w:rsidRDefault="005962A9" w:rsidP="006E5E56">
            <w:pPr>
              <w:spacing w:after="120"/>
              <w:ind w:left="369" w:hanging="369"/>
            </w:pPr>
            <w:r>
              <w:rPr>
                <w:rFonts w:cs="Arial"/>
                <w:b/>
                <w:szCs w:val="22"/>
              </w:rPr>
              <w:t xml:space="preserve">1.5 </w:t>
            </w:r>
            <w:r w:rsidRPr="00A434F1">
              <w:rPr>
                <w:rFonts w:cs="Arial"/>
                <w:szCs w:val="22"/>
              </w:rPr>
              <w:t>Collaborative gro</w:t>
            </w:r>
            <w:r>
              <w:rPr>
                <w:rFonts w:cs="Arial"/>
                <w:szCs w:val="22"/>
              </w:rPr>
              <w:t>ups will need to explain/define</w:t>
            </w:r>
            <w:r w:rsidRPr="00A434F1">
              <w:rPr>
                <w:rFonts w:cs="Arial"/>
                <w:szCs w:val="22"/>
              </w:rPr>
              <w:t xml:space="preserve"> how the multi-disciplinary team will be established, managed and monitored </w:t>
            </w:r>
            <w:r>
              <w:rPr>
                <w:rFonts w:cs="Arial"/>
                <w:szCs w:val="22"/>
              </w:rPr>
              <w:t xml:space="preserve">and </w:t>
            </w:r>
            <w:r w:rsidRPr="00A434F1">
              <w:rPr>
                <w:rFonts w:cs="Arial"/>
                <w:szCs w:val="22"/>
              </w:rPr>
              <w:t>set out a formal approach to reviewing the individual core disciplines bei</w:t>
            </w:r>
            <w:r>
              <w:rPr>
                <w:rFonts w:cs="Arial"/>
                <w:szCs w:val="22"/>
              </w:rPr>
              <w:t>ng provided from a different location,</w:t>
            </w:r>
            <w:r w:rsidRPr="00A434F1">
              <w:rPr>
                <w:rFonts w:cs="Arial"/>
                <w:szCs w:val="22"/>
              </w:rPr>
              <w:t xml:space="preserve"> prior to the start of any project</w:t>
            </w:r>
            <w:r>
              <w:rPr>
                <w:rFonts w:cs="Arial"/>
                <w:szCs w:val="22"/>
              </w:rPr>
              <w:t>,</w:t>
            </w:r>
            <w:r w:rsidRPr="00A434F1">
              <w:rPr>
                <w:rFonts w:cs="Arial"/>
                <w:szCs w:val="22"/>
              </w:rPr>
              <w:t xml:space="preserve"> to ensure quality from the outset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14:paraId="12247495" w14:textId="3A73AA00" w:rsidR="00471BF4" w:rsidRDefault="00471BF4" w:rsidP="00471BF4">
      <w:pPr>
        <w:keepNext/>
        <w:spacing w:after="240"/>
        <w:rPr>
          <w:b/>
          <w:sz w:val="24"/>
        </w:rPr>
      </w:pPr>
      <w:r>
        <w:rPr>
          <w:b/>
          <w:sz w:val="24"/>
        </w:rPr>
        <w:br w:type="page"/>
      </w:r>
    </w:p>
    <w:p w14:paraId="0F8F7F49" w14:textId="3ACA198C" w:rsidR="00FA18CD" w:rsidRPr="006E5E56" w:rsidRDefault="00FA18CD" w:rsidP="006E5E56">
      <w:pPr>
        <w:keepNext/>
        <w:spacing w:after="240"/>
        <w:rPr>
          <w:b/>
          <w:sz w:val="24"/>
        </w:rPr>
      </w:pPr>
      <w:r w:rsidRPr="006E5E56">
        <w:rPr>
          <w:b/>
          <w:sz w:val="24"/>
        </w:rPr>
        <w:lastRenderedPageBreak/>
        <w:t>Infrastructure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5344"/>
      </w:tblGrid>
      <w:tr w:rsidR="00756097" w:rsidRPr="00946A9A" w14:paraId="7E6E8DFE" w14:textId="77777777" w:rsidTr="006E5E56">
        <w:trPr>
          <w:cantSplit/>
          <w:trHeight w:val="246"/>
          <w:tblHeader/>
        </w:trPr>
        <w:tc>
          <w:tcPr>
            <w:tcW w:w="2183" w:type="pct"/>
            <w:shd w:val="clear" w:color="auto" w:fill="DBE5F1" w:themeFill="accent1" w:themeFillTint="33"/>
          </w:tcPr>
          <w:p w14:paraId="5C8EABA5" w14:textId="08CC2FA9" w:rsidR="00756097" w:rsidRPr="00946A9A" w:rsidRDefault="00756097" w:rsidP="006E5E56">
            <w:pPr>
              <w:rPr>
                <w:b/>
              </w:rPr>
            </w:pPr>
            <w:r w:rsidRPr="00946A9A">
              <w:rPr>
                <w:b/>
              </w:rPr>
              <w:t>Competency</w:t>
            </w:r>
          </w:p>
        </w:tc>
        <w:tc>
          <w:tcPr>
            <w:tcW w:w="2817" w:type="pct"/>
            <w:shd w:val="clear" w:color="auto" w:fill="DBE5F1" w:themeFill="accent1" w:themeFillTint="33"/>
          </w:tcPr>
          <w:p w14:paraId="685BCE21" w14:textId="1CE2A0AE" w:rsidR="00756097" w:rsidRPr="00946A9A" w:rsidRDefault="00756097" w:rsidP="006E5E56">
            <w:pPr>
              <w:rPr>
                <w:b/>
              </w:rPr>
            </w:pPr>
            <w:r w:rsidRPr="00946A9A">
              <w:rPr>
                <w:b/>
              </w:rPr>
              <w:t xml:space="preserve">Evaluation </w:t>
            </w:r>
            <w:r>
              <w:rPr>
                <w:b/>
              </w:rPr>
              <w:t>C</w:t>
            </w:r>
            <w:r w:rsidRPr="00946A9A">
              <w:rPr>
                <w:b/>
              </w:rPr>
              <w:t xml:space="preserve">riteria </w:t>
            </w:r>
            <w:r>
              <w:rPr>
                <w:b/>
              </w:rPr>
              <w:t>for Full Registration</w:t>
            </w:r>
          </w:p>
        </w:tc>
      </w:tr>
      <w:tr w:rsidR="00902D7A" w14:paraId="4D46EED1" w14:textId="77777777" w:rsidTr="00766533">
        <w:trPr>
          <w:cantSplit/>
          <w:trHeight w:val="2794"/>
        </w:trPr>
        <w:tc>
          <w:tcPr>
            <w:tcW w:w="2183" w:type="pct"/>
            <w:tcMar>
              <w:top w:w="113" w:type="dxa"/>
              <w:bottom w:w="85" w:type="dxa"/>
            </w:tcMar>
          </w:tcPr>
          <w:p w14:paraId="2872CDBD" w14:textId="77777777" w:rsidR="005962A9" w:rsidRDefault="005962A9" w:rsidP="006E5E56">
            <w:pPr>
              <w:spacing w:after="120"/>
              <w:rPr>
                <w:rFonts w:cs="Arial"/>
                <w:szCs w:val="22"/>
              </w:rPr>
            </w:pPr>
            <w:r w:rsidRPr="00A434F1">
              <w:rPr>
                <w:rFonts w:cs="Arial"/>
                <w:szCs w:val="22"/>
              </w:rPr>
              <w:t>Resources to provide adequate and stable infrastructure and senior staff as well as an ability to ensure continuity of the core disciplines</w:t>
            </w:r>
            <w:r>
              <w:rPr>
                <w:rFonts w:cs="Arial"/>
                <w:szCs w:val="22"/>
              </w:rPr>
              <w:t>.</w:t>
            </w:r>
          </w:p>
          <w:p w14:paraId="0AD13FEB" w14:textId="77777777" w:rsidR="005962A9" w:rsidRDefault="005962A9" w:rsidP="006E5E56">
            <w:pPr>
              <w:spacing w:after="120"/>
              <w:rPr>
                <w:rFonts w:cs="Arial"/>
                <w:szCs w:val="22"/>
              </w:rPr>
            </w:pPr>
            <w:r w:rsidRPr="00A434F1">
              <w:rPr>
                <w:rFonts w:cs="Arial"/>
                <w:szCs w:val="22"/>
              </w:rPr>
              <w:t xml:space="preserve">Adequate infrastructure, to support trials activity with a documented commitment to the </w:t>
            </w:r>
            <w:r>
              <w:rPr>
                <w:rFonts w:cs="Arial"/>
                <w:szCs w:val="22"/>
              </w:rPr>
              <w:t>Clinical Trials U</w:t>
            </w:r>
            <w:r w:rsidRPr="00A434F1">
              <w:rPr>
                <w:rFonts w:cs="Arial"/>
                <w:szCs w:val="22"/>
              </w:rPr>
              <w:t>nit from the host institution</w:t>
            </w:r>
            <w:r>
              <w:rPr>
                <w:rFonts w:cs="Arial"/>
                <w:szCs w:val="22"/>
              </w:rPr>
              <w:t xml:space="preserve"> and</w:t>
            </w:r>
            <w:r w:rsidRPr="00A434F1">
              <w:rPr>
                <w:rFonts w:cs="Arial"/>
                <w:szCs w:val="22"/>
              </w:rPr>
              <w:t xml:space="preserve"> clinical input at the strategic as well as the project level.</w:t>
            </w:r>
          </w:p>
          <w:p w14:paraId="2E3C3FC0" w14:textId="1C5C89D0" w:rsidR="005962A9" w:rsidRDefault="005962A9" w:rsidP="006E5E56">
            <w:r>
              <w:rPr>
                <w:rFonts w:cs="Arial"/>
                <w:szCs w:val="22"/>
              </w:rPr>
              <w:t>R</w:t>
            </w:r>
            <w:r>
              <w:t xml:space="preserve">obust leadership and strategic planning </w:t>
            </w:r>
          </w:p>
        </w:tc>
        <w:tc>
          <w:tcPr>
            <w:tcW w:w="2817" w:type="pct"/>
            <w:tcMar>
              <w:top w:w="113" w:type="dxa"/>
              <w:bottom w:w="85" w:type="dxa"/>
            </w:tcMar>
          </w:tcPr>
          <w:p w14:paraId="6B377FDE" w14:textId="77777777" w:rsidR="005962A9" w:rsidRDefault="005962A9" w:rsidP="006E5E56">
            <w:pPr>
              <w:spacing w:after="120"/>
              <w:ind w:left="309" w:hanging="309"/>
              <w:rPr>
                <w:rFonts w:cs="Arial"/>
                <w:szCs w:val="22"/>
              </w:rPr>
            </w:pPr>
            <w:r>
              <w:rPr>
                <w:b/>
              </w:rPr>
              <w:t xml:space="preserve">1.6 </w:t>
            </w:r>
            <w:r>
              <w:t>Evidence of core funding or of a rolling programme of grants. Evidence of commitment from the host institution.</w:t>
            </w:r>
          </w:p>
          <w:p w14:paraId="3F50600D" w14:textId="105BD6BF" w:rsidR="005962A9" w:rsidRPr="00766533" w:rsidRDefault="00766533" w:rsidP="006E5E56">
            <w:pPr>
              <w:tabs>
                <w:tab w:val="left" w:pos="194"/>
              </w:tabs>
              <w:spacing w:after="120"/>
              <w:ind w:left="451" w:hanging="425"/>
              <w:rPr>
                <w:b/>
                <w:spacing w:val="5"/>
                <w:szCs w:val="52"/>
              </w:rPr>
            </w:pPr>
            <w:r>
              <w:rPr>
                <w:b/>
                <w:spacing w:val="5"/>
                <w:szCs w:val="52"/>
              </w:rPr>
              <w:t>1.7</w:t>
            </w:r>
            <w:r>
              <w:rPr>
                <w:b/>
                <w:spacing w:val="5"/>
                <w:szCs w:val="52"/>
              </w:rPr>
              <w:tab/>
            </w:r>
            <w:r w:rsidR="005962A9" w:rsidRPr="00766533">
              <w:rPr>
                <w:rFonts w:cs="Arial"/>
                <w:szCs w:val="22"/>
              </w:rPr>
              <w:t>Evid</w:t>
            </w:r>
            <w:r w:rsidR="005962A9">
              <w:t>ence of capacity in terms of staffing, time and expertise to manage unexpected/unplanned circumstances (e.g. personnel changes or trial problems).</w:t>
            </w:r>
          </w:p>
          <w:p w14:paraId="4F35FCF1" w14:textId="49038702" w:rsidR="005962A9" w:rsidRPr="00766533" w:rsidRDefault="00766533" w:rsidP="006E5E56">
            <w:pPr>
              <w:spacing w:after="120"/>
              <w:ind w:left="425" w:hanging="425"/>
              <w:rPr>
                <w:b/>
                <w:spacing w:val="5"/>
                <w:szCs w:val="52"/>
              </w:rPr>
            </w:pPr>
            <w:r w:rsidRPr="008A5D9E">
              <w:rPr>
                <w:b/>
                <w:spacing w:val="5"/>
                <w:szCs w:val="52"/>
              </w:rPr>
              <w:t>1.8</w:t>
            </w:r>
            <w:r w:rsidRPr="008A5D9E">
              <w:rPr>
                <w:b/>
                <w:spacing w:val="5"/>
                <w:szCs w:val="52"/>
              </w:rPr>
              <w:tab/>
            </w:r>
            <w:r w:rsidR="005962A9" w:rsidRPr="00756097">
              <w:rPr>
                <w:rFonts w:cs="Arial"/>
                <w:szCs w:val="22"/>
              </w:rPr>
              <w:t>Evidence of clinical input at strategic level</w:t>
            </w:r>
          </w:p>
          <w:p w14:paraId="6C20EFA6" w14:textId="4C4329C5" w:rsidR="005962A9" w:rsidRDefault="00766533" w:rsidP="006E5E56">
            <w:pPr>
              <w:spacing w:after="120"/>
              <w:ind w:left="425" w:hanging="425"/>
            </w:pPr>
            <w:r>
              <w:rPr>
                <w:b/>
              </w:rPr>
              <w:t>1.9</w:t>
            </w:r>
            <w:r>
              <w:rPr>
                <w:b/>
              </w:rPr>
              <w:tab/>
            </w:r>
            <w:r w:rsidR="005962A9">
              <w:t xml:space="preserve">Evidence of robust research, operational and succession planning strategies. </w:t>
            </w:r>
          </w:p>
        </w:tc>
      </w:tr>
    </w:tbl>
    <w:p w14:paraId="3544A0F1" w14:textId="77777777" w:rsidR="00FA18CD" w:rsidRDefault="00FA18CD" w:rsidP="006E5E56">
      <w:pPr>
        <w:rPr>
          <w:b/>
        </w:rPr>
      </w:pPr>
    </w:p>
    <w:p w14:paraId="1C5AB6F8" w14:textId="77777777" w:rsidR="00B945E4" w:rsidRPr="006E5E56" w:rsidRDefault="00B945E4" w:rsidP="006E5E56">
      <w:pPr>
        <w:spacing w:after="240"/>
        <w:rPr>
          <w:b/>
          <w:sz w:val="24"/>
        </w:rPr>
      </w:pPr>
      <w:r w:rsidRPr="006E5E56">
        <w:rPr>
          <w:b/>
          <w:sz w:val="24"/>
        </w:rPr>
        <w:t>Quality</w:t>
      </w:r>
      <w:r w:rsidR="00FA18CD" w:rsidRPr="006E5E56">
        <w:rPr>
          <w:b/>
          <w:sz w:val="24"/>
        </w:rPr>
        <w:t xml:space="preserve"> Assurance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5316"/>
      </w:tblGrid>
      <w:tr w:rsidR="00756097" w14:paraId="72D36033" w14:textId="77777777" w:rsidTr="006E5E56">
        <w:trPr>
          <w:cantSplit/>
          <w:trHeight w:val="246"/>
          <w:tblHeader/>
        </w:trPr>
        <w:tc>
          <w:tcPr>
            <w:tcW w:w="2190" w:type="pct"/>
            <w:shd w:val="clear" w:color="auto" w:fill="DBE5F1" w:themeFill="accent1" w:themeFillTint="33"/>
          </w:tcPr>
          <w:p w14:paraId="6C08FAA7" w14:textId="251FAF94" w:rsidR="00756097" w:rsidRPr="00A434F1" w:rsidRDefault="00756097" w:rsidP="006E5E56">
            <w:pPr>
              <w:rPr>
                <w:rFonts w:cs="Arial"/>
                <w:szCs w:val="22"/>
              </w:rPr>
            </w:pPr>
            <w:r w:rsidRPr="00946A9A">
              <w:rPr>
                <w:b/>
              </w:rPr>
              <w:t>Competency</w:t>
            </w:r>
          </w:p>
        </w:tc>
        <w:tc>
          <w:tcPr>
            <w:tcW w:w="2810" w:type="pct"/>
            <w:shd w:val="clear" w:color="auto" w:fill="DBE5F1" w:themeFill="accent1" w:themeFillTint="33"/>
          </w:tcPr>
          <w:p w14:paraId="2F84C77D" w14:textId="1D2ACFB1" w:rsidR="00756097" w:rsidRPr="00946A9A" w:rsidRDefault="00756097" w:rsidP="006E5E56">
            <w:pPr>
              <w:rPr>
                <w:b/>
              </w:rPr>
            </w:pPr>
            <w:r w:rsidRPr="00946A9A">
              <w:rPr>
                <w:b/>
              </w:rPr>
              <w:t xml:space="preserve">Evaluation </w:t>
            </w:r>
            <w:r>
              <w:rPr>
                <w:b/>
              </w:rPr>
              <w:t>C</w:t>
            </w:r>
            <w:r w:rsidRPr="00946A9A">
              <w:rPr>
                <w:b/>
              </w:rPr>
              <w:t xml:space="preserve">riteria </w:t>
            </w:r>
            <w:r>
              <w:rPr>
                <w:b/>
              </w:rPr>
              <w:t>for Full Registration</w:t>
            </w:r>
          </w:p>
        </w:tc>
      </w:tr>
      <w:tr w:rsidR="00902D7A" w14:paraId="5ABE1CE7" w14:textId="77777777" w:rsidTr="001F7DBD">
        <w:trPr>
          <w:cantSplit/>
          <w:trHeight w:val="674"/>
        </w:trPr>
        <w:tc>
          <w:tcPr>
            <w:tcW w:w="2190" w:type="pct"/>
            <w:tcMar>
              <w:top w:w="113" w:type="dxa"/>
              <w:bottom w:w="113" w:type="dxa"/>
            </w:tcMar>
          </w:tcPr>
          <w:p w14:paraId="53F4386D" w14:textId="5D759ED3" w:rsidR="005962A9" w:rsidRDefault="005962A9" w:rsidP="006E5E56">
            <w:r>
              <w:rPr>
                <w:rFonts w:cs="Arial"/>
                <w:szCs w:val="22"/>
              </w:rPr>
              <w:t>S</w:t>
            </w:r>
            <w:r w:rsidRPr="00A434F1">
              <w:rPr>
                <w:rFonts w:cs="Arial"/>
                <w:szCs w:val="22"/>
              </w:rPr>
              <w:t xml:space="preserve">ystems </w:t>
            </w:r>
            <w:r>
              <w:rPr>
                <w:rFonts w:cs="Arial"/>
                <w:szCs w:val="22"/>
              </w:rPr>
              <w:t xml:space="preserve">and processes </w:t>
            </w:r>
            <w:r w:rsidRPr="00A434F1">
              <w:rPr>
                <w:rFonts w:cs="Arial"/>
                <w:szCs w:val="22"/>
              </w:rPr>
              <w:t xml:space="preserve">in place to meet </w:t>
            </w:r>
            <w:r>
              <w:rPr>
                <w:rFonts w:cs="Arial"/>
                <w:szCs w:val="22"/>
              </w:rPr>
              <w:t xml:space="preserve">appropriate regulations and legislation (e.g. </w:t>
            </w:r>
            <w:r w:rsidRPr="00A434F1">
              <w:rPr>
                <w:rFonts w:cs="Arial"/>
                <w:szCs w:val="22"/>
              </w:rPr>
              <w:t xml:space="preserve">the principles of GCP, the </w:t>
            </w:r>
            <w:r w:rsidR="00647C63">
              <w:t>UK Policy Framework for Health and Social Care Research , the Data Protection Act and any other UK regulations and legislation relating to Clinical Trials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2810" w:type="pct"/>
            <w:tcMar>
              <w:top w:w="113" w:type="dxa"/>
              <w:bottom w:w="113" w:type="dxa"/>
            </w:tcMar>
          </w:tcPr>
          <w:p w14:paraId="5D6F22E5" w14:textId="7625B11D" w:rsidR="005962A9" w:rsidRDefault="005962A9" w:rsidP="009179DE">
            <w:pPr>
              <w:ind w:left="510" w:hanging="510"/>
            </w:pPr>
            <w:r>
              <w:rPr>
                <w:b/>
              </w:rPr>
              <w:t xml:space="preserve">1.10 </w:t>
            </w:r>
            <w:r>
              <w:t>List of Standard Operating Procedures (SOPs) with version numbers and dates. SOPs in areas identified by the UKCRC-Registered CTUs (see page</w:t>
            </w:r>
            <w:r w:rsidR="00F159D2">
              <w:t xml:space="preserve"> 5</w:t>
            </w:r>
            <w:r>
              <w:t>) and evidence of how it is ensured that staff follow SOPs and who is responsible for managing SOPs.</w:t>
            </w:r>
          </w:p>
        </w:tc>
      </w:tr>
      <w:tr w:rsidR="00902D7A" w14:paraId="7F4D8A53" w14:textId="77777777" w:rsidTr="001F4706">
        <w:trPr>
          <w:cantSplit/>
          <w:trHeight w:val="759"/>
        </w:trPr>
        <w:tc>
          <w:tcPr>
            <w:tcW w:w="2190" w:type="pct"/>
            <w:tcMar>
              <w:top w:w="113" w:type="dxa"/>
              <w:bottom w:w="113" w:type="dxa"/>
            </w:tcMar>
          </w:tcPr>
          <w:p w14:paraId="0935249D" w14:textId="3CE2A4E1" w:rsidR="005962A9" w:rsidRDefault="005962A9" w:rsidP="006E5E56">
            <w:r w:rsidRPr="00A434F1">
              <w:rPr>
                <w:rFonts w:cs="Arial"/>
                <w:szCs w:val="22"/>
              </w:rPr>
              <w:t xml:space="preserve">Systems </w:t>
            </w:r>
            <w:r>
              <w:rPr>
                <w:rFonts w:cs="Arial"/>
                <w:szCs w:val="22"/>
              </w:rPr>
              <w:t xml:space="preserve">and processes </w:t>
            </w:r>
            <w:r w:rsidRPr="00A434F1">
              <w:rPr>
                <w:rFonts w:cs="Arial"/>
                <w:szCs w:val="22"/>
              </w:rPr>
              <w:t>in place for risk assessment to guide appropriate monitoring of the whole study process centrally and at clinical sites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2810" w:type="pct"/>
            <w:tcMar>
              <w:top w:w="113" w:type="dxa"/>
              <w:bottom w:w="113" w:type="dxa"/>
            </w:tcMar>
          </w:tcPr>
          <w:p w14:paraId="2A18EA6D" w14:textId="7750C83C" w:rsidR="005962A9" w:rsidRDefault="005962A9" w:rsidP="006E5E56">
            <w:pPr>
              <w:ind w:left="593" w:hanging="567"/>
            </w:pPr>
            <w:r w:rsidRPr="00621B17">
              <w:rPr>
                <w:b/>
              </w:rPr>
              <w:t>1.</w:t>
            </w:r>
            <w:r>
              <w:rPr>
                <w:b/>
              </w:rPr>
              <w:t xml:space="preserve">11 </w:t>
            </w:r>
            <w:r>
              <w:t>Evidence of a functional system for risk assessment.</w:t>
            </w:r>
          </w:p>
        </w:tc>
      </w:tr>
    </w:tbl>
    <w:p w14:paraId="3FD7F423" w14:textId="77777777" w:rsidR="005962A9" w:rsidRDefault="005962A9" w:rsidP="006E5E56">
      <w:pPr>
        <w:rPr>
          <w:b/>
        </w:rPr>
      </w:pPr>
    </w:p>
    <w:p w14:paraId="5FB361B9" w14:textId="77777777" w:rsidR="00B945E4" w:rsidRPr="006E5E56" w:rsidRDefault="00B945E4" w:rsidP="006E5E56">
      <w:pPr>
        <w:spacing w:after="240"/>
        <w:rPr>
          <w:b/>
          <w:sz w:val="24"/>
        </w:rPr>
      </w:pPr>
      <w:r w:rsidRPr="006E5E56">
        <w:rPr>
          <w:b/>
          <w:sz w:val="24"/>
        </w:rPr>
        <w:t>Information Systems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5344"/>
      </w:tblGrid>
      <w:tr w:rsidR="00902D7A" w14:paraId="259F2619" w14:textId="77777777" w:rsidTr="006E5E56">
        <w:trPr>
          <w:trHeight w:val="262"/>
        </w:trPr>
        <w:tc>
          <w:tcPr>
            <w:tcW w:w="2183" w:type="pct"/>
            <w:shd w:val="clear" w:color="auto" w:fill="DBE5F1" w:themeFill="accent1" w:themeFillTint="33"/>
          </w:tcPr>
          <w:p w14:paraId="71120285" w14:textId="77777777" w:rsidR="005962A9" w:rsidRPr="00A434F1" w:rsidRDefault="005962A9" w:rsidP="006E5E56">
            <w:pPr>
              <w:rPr>
                <w:rFonts w:cs="Arial"/>
                <w:szCs w:val="22"/>
              </w:rPr>
            </w:pPr>
            <w:r w:rsidRPr="00946A9A">
              <w:rPr>
                <w:b/>
              </w:rPr>
              <w:t>Competency</w:t>
            </w:r>
          </w:p>
        </w:tc>
        <w:tc>
          <w:tcPr>
            <w:tcW w:w="2817" w:type="pct"/>
            <w:shd w:val="clear" w:color="auto" w:fill="DBE5F1" w:themeFill="accent1" w:themeFillTint="33"/>
          </w:tcPr>
          <w:p w14:paraId="5AF792A3" w14:textId="77777777" w:rsidR="005962A9" w:rsidRPr="00946A9A" w:rsidRDefault="005962A9" w:rsidP="006E5E56">
            <w:pPr>
              <w:rPr>
                <w:b/>
              </w:rPr>
            </w:pPr>
            <w:r>
              <w:rPr>
                <w:b/>
              </w:rPr>
              <w:t>Evaluation c</w:t>
            </w:r>
            <w:r w:rsidRPr="00946A9A">
              <w:rPr>
                <w:b/>
              </w:rPr>
              <w:t xml:space="preserve">riteria </w:t>
            </w:r>
            <w:r>
              <w:rPr>
                <w:b/>
              </w:rPr>
              <w:t>for Full Registration</w:t>
            </w:r>
          </w:p>
        </w:tc>
      </w:tr>
      <w:tr w:rsidR="00902D7A" w14:paraId="506FEF12" w14:textId="77777777" w:rsidTr="001F4706">
        <w:trPr>
          <w:trHeight w:val="657"/>
        </w:trPr>
        <w:tc>
          <w:tcPr>
            <w:tcW w:w="2183" w:type="pct"/>
            <w:tcMar>
              <w:top w:w="113" w:type="dxa"/>
              <w:bottom w:w="113" w:type="dxa"/>
            </w:tcMar>
          </w:tcPr>
          <w:p w14:paraId="48490EBC" w14:textId="77777777" w:rsidR="005962A9" w:rsidRDefault="005962A9" w:rsidP="006E5E56">
            <w:r w:rsidRPr="00A434F1">
              <w:rPr>
                <w:rFonts w:cs="Arial"/>
                <w:szCs w:val="22"/>
              </w:rPr>
              <w:t xml:space="preserve">Robust </w:t>
            </w:r>
            <w:r>
              <w:rPr>
                <w:rFonts w:cs="Arial"/>
                <w:szCs w:val="22"/>
              </w:rPr>
              <w:t xml:space="preserve">and secure </w:t>
            </w:r>
            <w:r w:rsidRPr="00A434F1">
              <w:rPr>
                <w:rFonts w:cs="Arial"/>
                <w:szCs w:val="22"/>
              </w:rPr>
              <w:t>information systems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2817" w:type="pct"/>
            <w:tcMar>
              <w:top w:w="113" w:type="dxa"/>
              <w:bottom w:w="113" w:type="dxa"/>
            </w:tcMar>
          </w:tcPr>
          <w:p w14:paraId="29F58DED" w14:textId="1F08A870" w:rsidR="005962A9" w:rsidRDefault="005962A9" w:rsidP="009179DE">
            <w:pPr>
              <w:ind w:left="510" w:hanging="510"/>
            </w:pPr>
            <w:r>
              <w:rPr>
                <w:b/>
              </w:rPr>
              <w:t xml:space="preserve">1.12 </w:t>
            </w:r>
            <w:r>
              <w:t xml:space="preserve">Evidence of an appropriate data management system. </w:t>
            </w:r>
          </w:p>
        </w:tc>
      </w:tr>
      <w:tr w:rsidR="00F159D2" w14:paraId="4B94C3FE" w14:textId="77777777" w:rsidTr="001F4706">
        <w:trPr>
          <w:trHeight w:val="327"/>
        </w:trPr>
        <w:tc>
          <w:tcPr>
            <w:tcW w:w="2183" w:type="pct"/>
            <w:tcMar>
              <w:top w:w="113" w:type="dxa"/>
              <w:bottom w:w="113" w:type="dxa"/>
            </w:tcMar>
          </w:tcPr>
          <w:p w14:paraId="41D15394" w14:textId="6B5D7631" w:rsidR="00F159D2" w:rsidRDefault="00F159D2" w:rsidP="006E5E56">
            <w:pPr>
              <w:rPr>
                <w:rFonts w:cs="Arial"/>
                <w:szCs w:val="22"/>
              </w:rPr>
            </w:pPr>
            <w:r w:rsidRPr="00E640CB">
              <w:t>Evidence of satisfactory validation process</w:t>
            </w:r>
          </w:p>
        </w:tc>
        <w:tc>
          <w:tcPr>
            <w:tcW w:w="2817" w:type="pct"/>
            <w:tcMar>
              <w:top w:w="113" w:type="dxa"/>
              <w:bottom w:w="113" w:type="dxa"/>
            </w:tcMar>
          </w:tcPr>
          <w:p w14:paraId="16801AE7" w14:textId="7018CF8C" w:rsidR="00F159D2" w:rsidRDefault="00F159D2" w:rsidP="009179DE">
            <w:pPr>
              <w:ind w:left="510" w:hanging="510"/>
              <w:rPr>
                <w:b/>
              </w:rPr>
            </w:pPr>
            <w:r>
              <w:rPr>
                <w:b/>
              </w:rPr>
              <w:t xml:space="preserve">1.13 </w:t>
            </w:r>
            <w:r w:rsidRPr="008A5D9E">
              <w:t>Evidence</w:t>
            </w:r>
            <w:r w:rsidRPr="005962A9">
              <w:t xml:space="preserve"> </w:t>
            </w:r>
            <w:r>
              <w:t>of robust validation process for trial specific database systems and treatment allocation systems.</w:t>
            </w:r>
          </w:p>
        </w:tc>
      </w:tr>
      <w:tr w:rsidR="00902D7A" w14:paraId="1911690A" w14:textId="77777777" w:rsidTr="001F4706">
        <w:trPr>
          <w:trHeight w:val="327"/>
        </w:trPr>
        <w:tc>
          <w:tcPr>
            <w:tcW w:w="2183" w:type="pct"/>
            <w:tcMar>
              <w:top w:w="113" w:type="dxa"/>
              <w:bottom w:w="113" w:type="dxa"/>
            </w:tcMar>
          </w:tcPr>
          <w:p w14:paraId="5974AE34" w14:textId="77777777" w:rsidR="005962A9" w:rsidRDefault="005962A9" w:rsidP="006E5E56">
            <w:r>
              <w:rPr>
                <w:rFonts w:cs="Arial"/>
                <w:szCs w:val="22"/>
              </w:rPr>
              <w:t>Access</w:t>
            </w:r>
            <w:r w:rsidRPr="00A434F1">
              <w:rPr>
                <w:rFonts w:cs="Arial"/>
                <w:szCs w:val="22"/>
              </w:rPr>
              <w:t xml:space="preserve"> to </w:t>
            </w:r>
            <w:r>
              <w:rPr>
                <w:rFonts w:cs="Arial"/>
                <w:szCs w:val="22"/>
              </w:rPr>
              <w:t>systems and processes to manage a secure randomisation system.</w:t>
            </w:r>
          </w:p>
        </w:tc>
        <w:tc>
          <w:tcPr>
            <w:tcW w:w="2817" w:type="pct"/>
            <w:tcMar>
              <w:top w:w="113" w:type="dxa"/>
              <w:bottom w:w="113" w:type="dxa"/>
            </w:tcMar>
          </w:tcPr>
          <w:p w14:paraId="381566F2" w14:textId="2A3290C1" w:rsidR="005962A9" w:rsidRDefault="005962A9" w:rsidP="009179DE">
            <w:pPr>
              <w:ind w:left="510" w:hanging="510"/>
            </w:pPr>
            <w:r>
              <w:rPr>
                <w:b/>
              </w:rPr>
              <w:t>1.</w:t>
            </w:r>
            <w:r w:rsidR="001F4706">
              <w:rPr>
                <w:b/>
              </w:rPr>
              <w:t>1</w:t>
            </w:r>
            <w:r w:rsidR="00F159D2">
              <w:rPr>
                <w:b/>
              </w:rPr>
              <w:t>4</w:t>
            </w:r>
            <w:r w:rsidR="001F4706">
              <w:rPr>
                <w:b/>
              </w:rPr>
              <w:t xml:space="preserve"> </w:t>
            </w:r>
            <w:r>
              <w:t>Evidence of systems and processes to manage a secure randomisation system when running RCTs and need to specify system used.</w:t>
            </w:r>
          </w:p>
        </w:tc>
      </w:tr>
      <w:tr w:rsidR="00902D7A" w14:paraId="170283FB" w14:textId="77777777" w:rsidTr="001F4706">
        <w:trPr>
          <w:trHeight w:val="112"/>
        </w:trPr>
        <w:tc>
          <w:tcPr>
            <w:tcW w:w="2183" w:type="pct"/>
            <w:tcMar>
              <w:top w:w="113" w:type="dxa"/>
              <w:bottom w:w="113" w:type="dxa"/>
            </w:tcMar>
          </w:tcPr>
          <w:p w14:paraId="10CC88CE" w14:textId="088CDECB" w:rsidR="005962A9" w:rsidRPr="00E640CB" w:rsidRDefault="005962A9" w:rsidP="006E5E56">
            <w:r>
              <w:t xml:space="preserve">Evidence of adequate staffing to support Information system(s). </w:t>
            </w:r>
          </w:p>
        </w:tc>
        <w:tc>
          <w:tcPr>
            <w:tcW w:w="2817" w:type="pct"/>
            <w:tcMar>
              <w:top w:w="113" w:type="dxa"/>
              <w:bottom w:w="113" w:type="dxa"/>
            </w:tcMar>
          </w:tcPr>
          <w:p w14:paraId="11A8EF27" w14:textId="3E9EED91" w:rsidR="005962A9" w:rsidRDefault="005962A9" w:rsidP="006E5E56">
            <w:pPr>
              <w:ind w:left="510" w:hanging="510"/>
              <w:rPr>
                <w:b/>
              </w:rPr>
            </w:pPr>
            <w:r w:rsidRPr="008A5D9E">
              <w:rPr>
                <w:b/>
              </w:rPr>
              <w:t>1.15</w:t>
            </w:r>
            <w:r>
              <w:t xml:space="preserve"> Evidence that t</w:t>
            </w:r>
            <w:r w:rsidRPr="00913A97">
              <w:t xml:space="preserve">he numbers and experience of systems staff are sufficient </w:t>
            </w:r>
            <w:r>
              <w:t xml:space="preserve"> </w:t>
            </w:r>
            <w:r w:rsidRPr="00913A97">
              <w:t xml:space="preserve">to support </w:t>
            </w:r>
            <w:r w:rsidR="00EC2771">
              <w:t xml:space="preserve">information </w:t>
            </w:r>
            <w:r w:rsidRPr="00913A97">
              <w:t>system development, management, and validation’</w:t>
            </w:r>
          </w:p>
        </w:tc>
      </w:tr>
    </w:tbl>
    <w:p w14:paraId="6B6F4F8E" w14:textId="77777777" w:rsidR="003B45E7" w:rsidRDefault="003B45E7" w:rsidP="006E5E56">
      <w:pPr>
        <w:spacing w:before="36"/>
        <w:rPr>
          <w:rFonts w:cs="Arial"/>
          <w:b/>
          <w:bCs/>
          <w:szCs w:val="21"/>
        </w:rPr>
      </w:pPr>
    </w:p>
    <w:p w14:paraId="06064761" w14:textId="4CCA38ED" w:rsidR="000D2EA6" w:rsidRDefault="00821531" w:rsidP="006E5E56">
      <w:pPr>
        <w:spacing w:after="240"/>
        <w:rPr>
          <w:rFonts w:cs="Arial"/>
          <w:b/>
          <w:bCs/>
          <w:szCs w:val="21"/>
        </w:rPr>
      </w:pPr>
      <w:r w:rsidRPr="006E5E56">
        <w:rPr>
          <w:b/>
          <w:sz w:val="24"/>
        </w:rPr>
        <w:t>Publications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5"/>
        <w:gridCol w:w="5291"/>
      </w:tblGrid>
      <w:tr w:rsidR="00902D7A" w14:paraId="645CDFCB" w14:textId="77777777" w:rsidTr="006E5E56">
        <w:trPr>
          <w:trHeight w:val="235"/>
        </w:trPr>
        <w:tc>
          <w:tcPr>
            <w:tcW w:w="2211" w:type="pct"/>
            <w:shd w:val="clear" w:color="auto" w:fill="DBE5F1" w:themeFill="accent1" w:themeFillTint="33"/>
          </w:tcPr>
          <w:p w14:paraId="39ECF80E" w14:textId="77777777" w:rsidR="005962A9" w:rsidRDefault="005962A9">
            <w:pPr>
              <w:spacing w:before="36"/>
              <w:rPr>
                <w:rFonts w:cs="Arial"/>
                <w:b/>
                <w:bCs/>
                <w:szCs w:val="21"/>
              </w:rPr>
            </w:pPr>
            <w:r w:rsidRPr="00946A9A">
              <w:rPr>
                <w:b/>
              </w:rPr>
              <w:t>Competency</w:t>
            </w:r>
          </w:p>
        </w:tc>
        <w:tc>
          <w:tcPr>
            <w:tcW w:w="2789" w:type="pct"/>
            <w:shd w:val="clear" w:color="auto" w:fill="DBE5F1" w:themeFill="accent1" w:themeFillTint="33"/>
          </w:tcPr>
          <w:p w14:paraId="52F5042E" w14:textId="77777777" w:rsidR="005962A9" w:rsidRDefault="005962A9">
            <w:pPr>
              <w:spacing w:before="36"/>
              <w:rPr>
                <w:rFonts w:cs="Arial"/>
                <w:b/>
                <w:bCs/>
                <w:szCs w:val="21"/>
              </w:rPr>
            </w:pPr>
            <w:r>
              <w:rPr>
                <w:b/>
              </w:rPr>
              <w:t>Evaluation c</w:t>
            </w:r>
            <w:r w:rsidRPr="00946A9A">
              <w:rPr>
                <w:b/>
              </w:rPr>
              <w:t xml:space="preserve">riteria </w:t>
            </w:r>
            <w:r>
              <w:rPr>
                <w:b/>
              </w:rPr>
              <w:t>for Full Registration</w:t>
            </w:r>
          </w:p>
        </w:tc>
      </w:tr>
      <w:tr w:rsidR="00902D7A" w14:paraId="22771B7E" w14:textId="77777777" w:rsidTr="001F4706">
        <w:trPr>
          <w:trHeight w:val="2341"/>
        </w:trPr>
        <w:tc>
          <w:tcPr>
            <w:tcW w:w="2211" w:type="pct"/>
            <w:tcMar>
              <w:top w:w="113" w:type="dxa"/>
              <w:bottom w:w="113" w:type="dxa"/>
            </w:tcMar>
          </w:tcPr>
          <w:p w14:paraId="5A0267FB" w14:textId="4C61175F" w:rsidR="005962A9" w:rsidRDefault="005962A9">
            <w:pPr>
              <w:spacing w:before="36"/>
              <w:rPr>
                <w:rFonts w:cs="Arial"/>
                <w:b/>
                <w:bCs/>
                <w:szCs w:val="21"/>
              </w:rPr>
            </w:pPr>
            <w:r>
              <w:t>Evidence of a strong track record of publications in a peer reviewed journal</w:t>
            </w:r>
            <w:r w:rsidRPr="00EE281C" w:rsidDel="0082153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789" w:type="pct"/>
            <w:tcMar>
              <w:top w:w="113" w:type="dxa"/>
              <w:bottom w:w="113" w:type="dxa"/>
            </w:tcMar>
          </w:tcPr>
          <w:p w14:paraId="295BDDFA" w14:textId="2C055FA0" w:rsidR="005962A9" w:rsidRDefault="005962A9" w:rsidP="00E72B33">
            <w:pPr>
              <w:spacing w:before="36"/>
              <w:ind w:left="512" w:hanging="512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szCs w:val="22"/>
              </w:rPr>
              <w:t>1.</w:t>
            </w:r>
            <w:r w:rsidR="00E72B33">
              <w:rPr>
                <w:rFonts w:cs="Arial"/>
                <w:b/>
                <w:szCs w:val="22"/>
              </w:rPr>
              <w:t xml:space="preserve">16 </w:t>
            </w:r>
            <w:r w:rsidR="001F4706">
              <w:rPr>
                <w:rFonts w:cs="Arial"/>
                <w:szCs w:val="22"/>
              </w:rPr>
              <w:t>Three</w:t>
            </w:r>
            <w:r w:rsidRPr="008A5D9E">
              <w:rPr>
                <w:rFonts w:cs="Arial"/>
                <w:szCs w:val="22"/>
              </w:rPr>
              <w:t xml:space="preserve"> significant peer-reviewed publications of recent existing/closed studies. Publications must fall within your most recent period of registration and must be from separate clinical trials or other well-designed studies that best demonstrate your unit's activity. </w:t>
            </w:r>
            <w:r w:rsidR="00222CEE">
              <w:rPr>
                <w:rFonts w:cs="Arial"/>
                <w:szCs w:val="22"/>
              </w:rPr>
              <w:t>Ideally, all three should be primary or secondary analyses of recent/existing clinical trials.  However, p</w:t>
            </w:r>
            <w:r w:rsidRPr="00821531">
              <w:rPr>
                <w:rFonts w:cs="Arial"/>
                <w:szCs w:val="22"/>
              </w:rPr>
              <w:t>ublished protocols from different studies do qualify for inclusion. One publication must be a final analysis of a randomised controlled trial (RCT).</w:t>
            </w:r>
          </w:p>
        </w:tc>
      </w:tr>
    </w:tbl>
    <w:p w14:paraId="4E666AC4" w14:textId="77777777" w:rsidR="000D2EA6" w:rsidRDefault="000D2EA6">
      <w:pPr>
        <w:spacing w:before="36"/>
        <w:rPr>
          <w:rFonts w:cs="Arial"/>
          <w:b/>
          <w:bCs/>
          <w:szCs w:val="21"/>
        </w:rPr>
      </w:pPr>
    </w:p>
    <w:p w14:paraId="4055DF36" w14:textId="77777777" w:rsidR="00307153" w:rsidRDefault="00307153">
      <w:pPr>
        <w:spacing w:before="36"/>
        <w:rPr>
          <w:rFonts w:cs="Arial"/>
          <w:b/>
          <w:bCs/>
          <w:szCs w:val="21"/>
        </w:rPr>
      </w:pPr>
    </w:p>
    <w:p w14:paraId="00AE7F49" w14:textId="77777777" w:rsidR="005962A9" w:rsidRDefault="005962A9">
      <w:pPr>
        <w:spacing w:before="36"/>
        <w:rPr>
          <w:rFonts w:cs="Arial"/>
          <w:b/>
          <w:bCs/>
          <w:szCs w:val="21"/>
        </w:rPr>
      </w:pPr>
    </w:p>
    <w:p w14:paraId="00FC1F58" w14:textId="77777777" w:rsidR="000D2EA6" w:rsidRPr="006E5E56" w:rsidRDefault="00B945E4">
      <w:pPr>
        <w:spacing w:before="36"/>
        <w:rPr>
          <w:rFonts w:cs="Arial"/>
          <w:b/>
          <w:sz w:val="26"/>
          <w:szCs w:val="26"/>
        </w:rPr>
      </w:pPr>
      <w:r w:rsidRPr="006E5E56">
        <w:rPr>
          <w:rFonts w:cs="Arial"/>
          <w:b/>
          <w:bCs/>
          <w:sz w:val="26"/>
          <w:szCs w:val="26"/>
        </w:rPr>
        <w:t>Essential areas to be covered by SOPs:</w:t>
      </w:r>
      <w:r w:rsidRPr="006E5E56">
        <w:rPr>
          <w:rFonts w:cs="Arial"/>
          <w:b/>
          <w:sz w:val="26"/>
          <w:szCs w:val="26"/>
        </w:rPr>
        <w:t xml:space="preserve"> </w:t>
      </w:r>
    </w:p>
    <w:p w14:paraId="634B3607" w14:textId="77777777" w:rsidR="00AB42B6" w:rsidRDefault="00AB42B6">
      <w:pPr>
        <w:spacing w:before="36"/>
        <w:rPr>
          <w:rFonts w:cs="Arial"/>
          <w:b/>
          <w:szCs w:val="21"/>
        </w:rPr>
      </w:pPr>
    </w:p>
    <w:p w14:paraId="6D8CA398" w14:textId="79A9F942" w:rsidR="008A5D9E" w:rsidRDefault="008A5D9E">
      <w:pPr>
        <w:spacing w:before="36"/>
        <w:rPr>
          <w:rFonts w:cs="Arial"/>
          <w:b/>
          <w:szCs w:val="21"/>
        </w:rPr>
      </w:pPr>
      <w:r>
        <w:rPr>
          <w:rFonts w:cs="Arial"/>
          <w:b/>
          <w:szCs w:val="21"/>
        </w:rPr>
        <w:t>Quality Management Systems</w:t>
      </w:r>
    </w:p>
    <w:p w14:paraId="66727C5F" w14:textId="3E03924B" w:rsidR="008A5D9E" w:rsidRDefault="00766533" w:rsidP="006E5E56">
      <w:pPr>
        <w:widowControl w:val="0"/>
        <w:tabs>
          <w:tab w:val="left" w:pos="792"/>
        </w:tabs>
        <w:autoSpaceDE w:val="0"/>
        <w:autoSpaceDN w:val="0"/>
        <w:ind w:left="426" w:hanging="426"/>
        <w:rPr>
          <w:rFonts w:cs="Arial"/>
          <w:szCs w:val="21"/>
        </w:rPr>
      </w:pPr>
      <w:r>
        <w:rPr>
          <w:rFonts w:cs="Arial"/>
          <w:szCs w:val="21"/>
        </w:rPr>
        <w:t>1.</w:t>
      </w:r>
      <w:r>
        <w:rPr>
          <w:rFonts w:cs="Arial"/>
          <w:szCs w:val="21"/>
        </w:rPr>
        <w:tab/>
      </w:r>
      <w:r w:rsidR="008A5D9E">
        <w:rPr>
          <w:rFonts w:cs="Arial"/>
          <w:szCs w:val="21"/>
        </w:rPr>
        <w:t>Quality Management Systems</w:t>
      </w:r>
    </w:p>
    <w:p w14:paraId="57649A30" w14:textId="573F99FE" w:rsidR="00B945E4" w:rsidRDefault="00766533" w:rsidP="006E5E56">
      <w:pPr>
        <w:widowControl w:val="0"/>
        <w:tabs>
          <w:tab w:val="left" w:pos="792"/>
        </w:tabs>
        <w:autoSpaceDE w:val="0"/>
        <w:autoSpaceDN w:val="0"/>
        <w:ind w:left="426" w:hanging="426"/>
        <w:rPr>
          <w:rFonts w:cs="Arial"/>
          <w:szCs w:val="21"/>
        </w:rPr>
      </w:pPr>
      <w:r>
        <w:rPr>
          <w:rFonts w:cs="Arial"/>
          <w:szCs w:val="21"/>
        </w:rPr>
        <w:t>2.</w:t>
      </w:r>
      <w:r>
        <w:rPr>
          <w:rFonts w:cs="Arial"/>
          <w:szCs w:val="21"/>
        </w:rPr>
        <w:tab/>
      </w:r>
      <w:r w:rsidR="00B945E4" w:rsidRPr="00B85B92">
        <w:rPr>
          <w:rFonts w:cs="Arial"/>
          <w:szCs w:val="21"/>
        </w:rPr>
        <w:t>SOP on SOPs</w:t>
      </w:r>
    </w:p>
    <w:p w14:paraId="3125782F" w14:textId="1687150F" w:rsidR="008A5D9E" w:rsidRDefault="00766533" w:rsidP="006E5E56">
      <w:pPr>
        <w:widowControl w:val="0"/>
        <w:tabs>
          <w:tab w:val="left" w:pos="792"/>
        </w:tabs>
        <w:autoSpaceDE w:val="0"/>
        <w:autoSpaceDN w:val="0"/>
        <w:ind w:left="426" w:hanging="426"/>
        <w:rPr>
          <w:rFonts w:cs="Arial"/>
          <w:szCs w:val="21"/>
        </w:rPr>
      </w:pPr>
      <w:r>
        <w:rPr>
          <w:rFonts w:cs="Arial"/>
          <w:szCs w:val="21"/>
        </w:rPr>
        <w:t>3.</w:t>
      </w:r>
      <w:r>
        <w:rPr>
          <w:rFonts w:cs="Arial"/>
          <w:szCs w:val="21"/>
        </w:rPr>
        <w:tab/>
      </w:r>
      <w:r w:rsidR="008A5D9E" w:rsidRPr="00B85B92">
        <w:rPr>
          <w:rFonts w:cs="Arial"/>
          <w:szCs w:val="21"/>
        </w:rPr>
        <w:t xml:space="preserve">Training </w:t>
      </w:r>
    </w:p>
    <w:p w14:paraId="433C690E" w14:textId="77777777" w:rsidR="00236CAE" w:rsidRDefault="00236CAE" w:rsidP="006E5E56">
      <w:pPr>
        <w:widowControl w:val="0"/>
        <w:autoSpaceDE w:val="0"/>
        <w:autoSpaceDN w:val="0"/>
        <w:ind w:left="426" w:hanging="426"/>
        <w:rPr>
          <w:rFonts w:cs="Arial"/>
          <w:b/>
          <w:szCs w:val="21"/>
        </w:rPr>
      </w:pPr>
    </w:p>
    <w:p w14:paraId="6295379B" w14:textId="11831A17" w:rsidR="008A5D9E" w:rsidRPr="008A5D9E" w:rsidRDefault="008A5D9E" w:rsidP="006E5E56">
      <w:pPr>
        <w:widowControl w:val="0"/>
        <w:autoSpaceDE w:val="0"/>
        <w:autoSpaceDN w:val="0"/>
        <w:ind w:left="426" w:hanging="426"/>
        <w:rPr>
          <w:rFonts w:cs="Arial"/>
          <w:b/>
          <w:szCs w:val="21"/>
        </w:rPr>
      </w:pPr>
      <w:r w:rsidRPr="008A5D9E">
        <w:rPr>
          <w:rFonts w:cs="Arial"/>
          <w:b/>
          <w:szCs w:val="21"/>
        </w:rPr>
        <w:t xml:space="preserve">All Trials </w:t>
      </w:r>
    </w:p>
    <w:p w14:paraId="2A7EEEA0" w14:textId="388F1801" w:rsidR="008A5D9E" w:rsidRPr="00B85B92" w:rsidRDefault="00766533" w:rsidP="006E5E56">
      <w:pPr>
        <w:widowControl w:val="0"/>
        <w:tabs>
          <w:tab w:val="left" w:pos="792"/>
        </w:tabs>
        <w:autoSpaceDE w:val="0"/>
        <w:autoSpaceDN w:val="0"/>
        <w:ind w:left="426" w:hanging="426"/>
        <w:rPr>
          <w:rFonts w:cs="Arial"/>
          <w:szCs w:val="21"/>
        </w:rPr>
      </w:pPr>
      <w:r w:rsidRPr="00B85B92">
        <w:rPr>
          <w:rFonts w:cs="Arial"/>
          <w:szCs w:val="21"/>
        </w:rPr>
        <w:t>4.</w:t>
      </w:r>
      <w:r w:rsidRPr="00B85B92">
        <w:rPr>
          <w:rFonts w:cs="Arial"/>
          <w:szCs w:val="21"/>
        </w:rPr>
        <w:tab/>
      </w:r>
      <w:r w:rsidR="008A5D9E" w:rsidRPr="00B85B92">
        <w:rPr>
          <w:rFonts w:cs="Arial"/>
          <w:szCs w:val="21"/>
        </w:rPr>
        <w:t>Sponsorship, contracts/agreements and indemnity</w:t>
      </w:r>
    </w:p>
    <w:p w14:paraId="497BFB1A" w14:textId="3C5F2EBE" w:rsidR="00B945E4" w:rsidRDefault="00766533" w:rsidP="006E5E56">
      <w:pPr>
        <w:widowControl w:val="0"/>
        <w:tabs>
          <w:tab w:val="left" w:pos="792"/>
        </w:tabs>
        <w:autoSpaceDE w:val="0"/>
        <w:autoSpaceDN w:val="0"/>
        <w:ind w:left="426" w:hanging="426"/>
        <w:rPr>
          <w:rFonts w:cs="Arial"/>
          <w:szCs w:val="21"/>
        </w:rPr>
      </w:pPr>
      <w:r>
        <w:rPr>
          <w:rFonts w:cs="Arial"/>
          <w:szCs w:val="21"/>
        </w:rPr>
        <w:t>5.</w:t>
      </w:r>
      <w:r>
        <w:rPr>
          <w:rFonts w:cs="Arial"/>
          <w:szCs w:val="21"/>
        </w:rPr>
        <w:tab/>
      </w:r>
      <w:r w:rsidR="00B945E4" w:rsidRPr="00B85B92">
        <w:rPr>
          <w:rFonts w:cs="Arial"/>
          <w:szCs w:val="21"/>
        </w:rPr>
        <w:t>Protocol development</w:t>
      </w:r>
    </w:p>
    <w:p w14:paraId="39CE49C9" w14:textId="0C1C7FCA" w:rsidR="008A5D9E" w:rsidRPr="00B85B92" w:rsidRDefault="00766533" w:rsidP="006E5E56">
      <w:pPr>
        <w:widowControl w:val="0"/>
        <w:tabs>
          <w:tab w:val="left" w:pos="792"/>
        </w:tabs>
        <w:autoSpaceDE w:val="0"/>
        <w:autoSpaceDN w:val="0"/>
        <w:spacing w:line="213" w:lineRule="auto"/>
        <w:ind w:left="426" w:hanging="426"/>
        <w:rPr>
          <w:rFonts w:cs="Arial"/>
          <w:szCs w:val="21"/>
        </w:rPr>
      </w:pPr>
      <w:r w:rsidRPr="00B85B92">
        <w:rPr>
          <w:rFonts w:cs="Arial"/>
          <w:szCs w:val="21"/>
        </w:rPr>
        <w:t>6.</w:t>
      </w:r>
      <w:r w:rsidRPr="00B85B92">
        <w:rPr>
          <w:rFonts w:cs="Arial"/>
          <w:szCs w:val="21"/>
        </w:rPr>
        <w:tab/>
      </w:r>
      <w:r w:rsidR="008A5D9E" w:rsidRPr="00B85B92">
        <w:rPr>
          <w:rFonts w:cs="Arial"/>
          <w:szCs w:val="21"/>
        </w:rPr>
        <w:t>Statistics</w:t>
      </w:r>
    </w:p>
    <w:p w14:paraId="657FFA8C" w14:textId="77777777" w:rsidR="00EE6965" w:rsidRDefault="00766533" w:rsidP="00EE6965">
      <w:pPr>
        <w:widowControl w:val="0"/>
        <w:tabs>
          <w:tab w:val="left" w:pos="792"/>
        </w:tabs>
        <w:autoSpaceDE w:val="0"/>
        <w:autoSpaceDN w:val="0"/>
        <w:ind w:left="426" w:hanging="426"/>
        <w:rPr>
          <w:rFonts w:cs="Arial"/>
          <w:szCs w:val="21"/>
        </w:rPr>
      </w:pPr>
      <w:r>
        <w:rPr>
          <w:rFonts w:cs="Arial"/>
          <w:szCs w:val="21"/>
        </w:rPr>
        <w:t>7.</w:t>
      </w:r>
      <w:r>
        <w:rPr>
          <w:rFonts w:cs="Arial"/>
          <w:szCs w:val="21"/>
        </w:rPr>
        <w:tab/>
      </w:r>
      <w:r w:rsidR="008A5D9E">
        <w:rPr>
          <w:rFonts w:cs="Arial"/>
          <w:szCs w:val="21"/>
        </w:rPr>
        <w:t>Ethical Approvals</w:t>
      </w:r>
    </w:p>
    <w:p w14:paraId="21516585" w14:textId="35C2ECA5" w:rsidR="00EE6965" w:rsidRDefault="00EE6965" w:rsidP="00EE6965">
      <w:pPr>
        <w:widowControl w:val="0"/>
        <w:tabs>
          <w:tab w:val="left" w:pos="792"/>
        </w:tabs>
        <w:autoSpaceDE w:val="0"/>
        <w:autoSpaceDN w:val="0"/>
        <w:ind w:left="426" w:hanging="426"/>
        <w:rPr>
          <w:rFonts w:cs="Arial"/>
          <w:szCs w:val="21"/>
        </w:rPr>
      </w:pPr>
      <w:r>
        <w:rPr>
          <w:rFonts w:cs="Arial"/>
          <w:szCs w:val="21"/>
        </w:rPr>
        <w:t xml:space="preserve">8.   </w:t>
      </w:r>
      <w:r w:rsidRPr="00B85B92">
        <w:rPr>
          <w:rFonts w:cs="Arial"/>
          <w:szCs w:val="21"/>
        </w:rPr>
        <w:t>Regulatory approvals</w:t>
      </w:r>
    </w:p>
    <w:p w14:paraId="11FD3748" w14:textId="3B5E10AE" w:rsidR="00EE6965" w:rsidRDefault="00EE6965" w:rsidP="00EE6965">
      <w:pPr>
        <w:widowControl w:val="0"/>
        <w:tabs>
          <w:tab w:val="left" w:pos="792"/>
        </w:tabs>
        <w:autoSpaceDE w:val="0"/>
        <w:autoSpaceDN w:val="0"/>
        <w:ind w:left="426" w:hanging="426"/>
        <w:rPr>
          <w:rFonts w:cs="Arial"/>
          <w:szCs w:val="21"/>
        </w:rPr>
      </w:pPr>
      <w:r>
        <w:rPr>
          <w:rFonts w:cs="Arial"/>
          <w:szCs w:val="21"/>
        </w:rPr>
        <w:t xml:space="preserve">9.   Site set up </w:t>
      </w:r>
    </w:p>
    <w:p w14:paraId="4B9B2AD1" w14:textId="7C15801F" w:rsidR="008A5D9E" w:rsidRPr="00F270F1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  <w:rPr>
          <w:rFonts w:cs="Arial"/>
          <w:szCs w:val="21"/>
        </w:rPr>
      </w:pPr>
      <w:r w:rsidRPr="00F270F1">
        <w:rPr>
          <w:rFonts w:cs="Arial"/>
          <w:szCs w:val="21"/>
        </w:rPr>
        <w:t xml:space="preserve">Patient Information </w:t>
      </w:r>
    </w:p>
    <w:p w14:paraId="653F61E3" w14:textId="5FE1319A" w:rsidR="008A5D9E" w:rsidRPr="00F270F1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  <w:rPr>
          <w:rFonts w:cs="Arial"/>
          <w:szCs w:val="21"/>
        </w:rPr>
      </w:pPr>
      <w:r w:rsidRPr="00F270F1">
        <w:rPr>
          <w:rFonts w:cs="Arial"/>
          <w:szCs w:val="21"/>
        </w:rPr>
        <w:t>Registration/Randomisation (if run</w:t>
      </w:r>
      <w:r w:rsidR="00105BBD" w:rsidRPr="00F270F1">
        <w:rPr>
          <w:rFonts w:cs="Arial"/>
          <w:szCs w:val="21"/>
        </w:rPr>
        <w:t>ning</w:t>
      </w:r>
      <w:r w:rsidRPr="00F270F1">
        <w:rPr>
          <w:rFonts w:cs="Arial"/>
          <w:szCs w:val="21"/>
        </w:rPr>
        <w:t xml:space="preserve"> randomised trials)</w:t>
      </w:r>
    </w:p>
    <w:p w14:paraId="3A567809" w14:textId="5D38C306" w:rsidR="00F270F1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  <w:rPr>
          <w:rFonts w:cs="Arial"/>
          <w:szCs w:val="21"/>
        </w:rPr>
      </w:pPr>
      <w:r w:rsidRPr="00F270F1">
        <w:rPr>
          <w:rFonts w:cs="Arial"/>
          <w:szCs w:val="21"/>
        </w:rPr>
        <w:t>Data management</w:t>
      </w:r>
    </w:p>
    <w:p w14:paraId="7BF06F71" w14:textId="403D2296" w:rsidR="00F270F1" w:rsidRPr="00F270F1" w:rsidRDefault="00F270F1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  <w:rPr>
          <w:rFonts w:cs="Arial"/>
          <w:szCs w:val="21"/>
        </w:rPr>
      </w:pPr>
      <w:r>
        <w:rPr>
          <w:rFonts w:cs="Arial"/>
          <w:szCs w:val="21"/>
        </w:rPr>
        <w:t xml:space="preserve"> Data Sharing</w:t>
      </w:r>
    </w:p>
    <w:p w14:paraId="4E798651" w14:textId="659EB477" w:rsidR="008A5D9E" w:rsidRPr="00F270F1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  <w:rPr>
          <w:rFonts w:cs="Arial"/>
          <w:szCs w:val="21"/>
        </w:rPr>
      </w:pPr>
      <w:r w:rsidRPr="00F270F1">
        <w:rPr>
          <w:rFonts w:cs="Arial"/>
          <w:szCs w:val="21"/>
        </w:rPr>
        <w:t>Monitoring and Independent oversight</w:t>
      </w:r>
    </w:p>
    <w:p w14:paraId="5958901B" w14:textId="147E19AB" w:rsidR="00B945E4" w:rsidRPr="00F270F1" w:rsidRDefault="00B945E4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line="213" w:lineRule="auto"/>
        <w:ind w:hanging="720"/>
        <w:rPr>
          <w:rFonts w:cs="Arial"/>
          <w:szCs w:val="21"/>
        </w:rPr>
      </w:pPr>
      <w:r w:rsidRPr="00F270F1">
        <w:rPr>
          <w:rFonts w:cs="Arial"/>
          <w:szCs w:val="21"/>
        </w:rPr>
        <w:t>Trial Master File/Site File (Investigator &amp; Pharmacy)</w:t>
      </w:r>
    </w:p>
    <w:p w14:paraId="68AB69AB" w14:textId="44AB5FD5" w:rsidR="008A5D9E" w:rsidRPr="00F97DD9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line="213" w:lineRule="auto"/>
        <w:ind w:hanging="720"/>
        <w:rPr>
          <w:rFonts w:cs="Arial"/>
          <w:szCs w:val="21"/>
        </w:rPr>
      </w:pPr>
      <w:r w:rsidRPr="00F97DD9">
        <w:rPr>
          <w:rFonts w:cs="Arial"/>
          <w:szCs w:val="21"/>
        </w:rPr>
        <w:t>IT/database</w:t>
      </w:r>
    </w:p>
    <w:p w14:paraId="7E69459C" w14:textId="7D883662" w:rsidR="008A5D9E" w:rsidRPr="00F97DD9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  <w:rPr>
          <w:rFonts w:cs="Arial"/>
          <w:szCs w:val="21"/>
        </w:rPr>
      </w:pPr>
      <w:r w:rsidRPr="00F97DD9">
        <w:rPr>
          <w:rFonts w:cs="Arial"/>
          <w:szCs w:val="21"/>
        </w:rPr>
        <w:t>Trial closure</w:t>
      </w:r>
    </w:p>
    <w:p w14:paraId="4FE19FD8" w14:textId="6D9B3CCB" w:rsidR="008A5D9E" w:rsidRPr="00F97DD9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  <w:rPr>
          <w:rFonts w:cs="Arial"/>
          <w:szCs w:val="21"/>
        </w:rPr>
      </w:pPr>
      <w:r w:rsidRPr="00F97DD9">
        <w:rPr>
          <w:rFonts w:cs="Arial"/>
          <w:szCs w:val="21"/>
        </w:rPr>
        <w:t>End of trial reporting</w:t>
      </w:r>
      <w:r w:rsidR="00F270F1">
        <w:rPr>
          <w:rFonts w:cs="Arial"/>
          <w:szCs w:val="21"/>
        </w:rPr>
        <w:t xml:space="preserve"> and publication</w:t>
      </w:r>
    </w:p>
    <w:p w14:paraId="1E616039" w14:textId="777826DD" w:rsidR="008A5D9E" w:rsidRPr="00F97DD9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line="266" w:lineRule="auto"/>
        <w:ind w:hanging="720"/>
        <w:rPr>
          <w:rFonts w:cs="Arial"/>
          <w:szCs w:val="21"/>
        </w:rPr>
      </w:pPr>
      <w:r w:rsidRPr="00F97DD9">
        <w:rPr>
          <w:rFonts w:cs="Arial"/>
          <w:szCs w:val="21"/>
        </w:rPr>
        <w:t>Archiving</w:t>
      </w:r>
    </w:p>
    <w:p w14:paraId="7BB1F06F" w14:textId="5777D482" w:rsidR="008A5D9E" w:rsidRPr="00F97DD9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  <w:rPr>
          <w:rFonts w:cs="Arial"/>
          <w:szCs w:val="21"/>
        </w:rPr>
      </w:pPr>
      <w:r w:rsidRPr="00F97DD9">
        <w:rPr>
          <w:rFonts w:cs="Arial"/>
          <w:szCs w:val="21"/>
        </w:rPr>
        <w:t>Deviations, Misconduct and serious breaches of GCP and/or the Protocol</w:t>
      </w:r>
    </w:p>
    <w:p w14:paraId="68FE698B" w14:textId="2B20728B" w:rsidR="008A5D9E" w:rsidRPr="00F97DD9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  <w:rPr>
          <w:rFonts w:cs="Arial"/>
          <w:szCs w:val="21"/>
        </w:rPr>
      </w:pPr>
      <w:r w:rsidRPr="00F97DD9">
        <w:rPr>
          <w:rFonts w:cs="Arial"/>
          <w:szCs w:val="21"/>
        </w:rPr>
        <w:t>Data protection and confidentiality</w:t>
      </w:r>
    </w:p>
    <w:p w14:paraId="5BDB3137" w14:textId="16D706E1" w:rsidR="008A5D9E" w:rsidRPr="00F97DD9" w:rsidRDefault="008A5D9E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</w:pPr>
      <w:r w:rsidRPr="00F270F1">
        <w:rPr>
          <w:rFonts w:cs="Arial"/>
          <w:szCs w:val="21"/>
        </w:rPr>
        <w:t>Document control</w:t>
      </w:r>
    </w:p>
    <w:p w14:paraId="2CA6B22E" w14:textId="62664689" w:rsidR="00B86094" w:rsidRPr="00F97DD9" w:rsidRDefault="00B86094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</w:pPr>
      <w:r w:rsidRPr="00B85B92">
        <w:rPr>
          <w:rFonts w:cs="Arial"/>
          <w:szCs w:val="21"/>
        </w:rPr>
        <w:t>Trials supplies</w:t>
      </w:r>
    </w:p>
    <w:p w14:paraId="08ACDD2D" w14:textId="37A06000" w:rsidR="00B86094" w:rsidRPr="00F97DD9" w:rsidRDefault="00B86094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</w:pPr>
      <w:r w:rsidRPr="00B85B92">
        <w:rPr>
          <w:rFonts w:cs="Arial"/>
          <w:szCs w:val="21"/>
        </w:rPr>
        <w:t>Safety Reporting/Pharmacovigilance</w:t>
      </w:r>
    </w:p>
    <w:p w14:paraId="1E8FB319" w14:textId="68C96150" w:rsidR="00B86094" w:rsidRDefault="00B86094" w:rsidP="00F97DD9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hanging="720"/>
      </w:pPr>
      <w:r w:rsidRPr="00B85B92">
        <w:rPr>
          <w:rFonts w:cs="Arial"/>
          <w:szCs w:val="21"/>
        </w:rPr>
        <w:t>Urgent safety measures</w:t>
      </w:r>
    </w:p>
    <w:p w14:paraId="211555DE" w14:textId="3EFCD020" w:rsidR="00B945E4" w:rsidRDefault="00766533" w:rsidP="006E5E56">
      <w:pPr>
        <w:widowControl w:val="0"/>
        <w:tabs>
          <w:tab w:val="left" w:pos="792"/>
        </w:tabs>
        <w:autoSpaceDE w:val="0"/>
        <w:autoSpaceDN w:val="0"/>
        <w:ind w:left="426" w:hanging="426"/>
        <w:rPr>
          <w:rFonts w:cs="Arial"/>
          <w:szCs w:val="21"/>
        </w:rPr>
      </w:pPr>
      <w:r>
        <w:rPr>
          <w:rFonts w:cs="Arial"/>
          <w:szCs w:val="21"/>
        </w:rPr>
        <w:tab/>
      </w:r>
    </w:p>
    <w:sectPr w:rsidR="00B945E4" w:rsidSect="006E5E56">
      <w:footerReference w:type="default" r:id="rId11"/>
      <w:pgSz w:w="11906" w:h="16838"/>
      <w:pgMar w:top="1440" w:right="1134" w:bottom="1440" w:left="1276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7B9C" w14:textId="77777777" w:rsidR="005371D5" w:rsidRDefault="005371D5" w:rsidP="00B945E4">
      <w:r>
        <w:separator/>
      </w:r>
    </w:p>
  </w:endnote>
  <w:endnote w:type="continuationSeparator" w:id="0">
    <w:p w14:paraId="696709C6" w14:textId="77777777" w:rsidR="005371D5" w:rsidRDefault="005371D5" w:rsidP="00B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B5AF" w14:textId="6BDB1EFA" w:rsidR="00CE3072" w:rsidRDefault="00E56C8F" w:rsidP="008A5D9E">
    <w:pPr>
      <w:pStyle w:val="Footer"/>
      <w:jc w:val="right"/>
    </w:pPr>
    <w:r>
      <w:rPr>
        <w:b/>
        <w:sz w:val="24"/>
      </w:rPr>
      <w:t xml:space="preserve">Existing Units - </w:t>
    </w:r>
    <w:r>
      <w:t>Key Compete</w:t>
    </w:r>
    <w:r w:rsidR="0014487B">
      <w:t>ncies and Evaluation Criteria v</w:t>
    </w:r>
    <w:r w:rsidR="000115D4">
      <w:t>10</w:t>
    </w:r>
    <w:r w:rsidR="00725082">
      <w:t xml:space="preserve"> CLEAN </w:t>
    </w:r>
    <w:r>
      <w:tab/>
      <w:t xml:space="preserve"> </w:t>
    </w:r>
    <w:r w:rsidR="0026519D">
      <w:t xml:space="preserve">Page </w:t>
    </w:r>
    <w:r w:rsidR="00C0524C">
      <w:rPr>
        <w:b/>
        <w:sz w:val="24"/>
      </w:rPr>
      <w:fldChar w:fldCharType="begin"/>
    </w:r>
    <w:r w:rsidR="0026519D">
      <w:rPr>
        <w:b/>
      </w:rPr>
      <w:instrText xml:space="preserve"> PAGE </w:instrText>
    </w:r>
    <w:r w:rsidR="00C0524C">
      <w:rPr>
        <w:b/>
        <w:sz w:val="24"/>
      </w:rPr>
      <w:fldChar w:fldCharType="separate"/>
    </w:r>
    <w:r w:rsidR="00766533">
      <w:rPr>
        <w:b/>
        <w:noProof/>
      </w:rPr>
      <w:t>2</w:t>
    </w:r>
    <w:r w:rsidR="00C0524C">
      <w:rPr>
        <w:b/>
        <w:sz w:val="24"/>
      </w:rPr>
      <w:fldChar w:fldCharType="end"/>
    </w:r>
    <w:r w:rsidR="0026519D">
      <w:t xml:space="preserve"> of </w:t>
    </w:r>
    <w:r w:rsidR="00C0524C">
      <w:rPr>
        <w:b/>
        <w:sz w:val="24"/>
      </w:rPr>
      <w:fldChar w:fldCharType="begin"/>
    </w:r>
    <w:r w:rsidR="0026519D">
      <w:rPr>
        <w:b/>
      </w:rPr>
      <w:instrText xml:space="preserve"> NUMPAGES  </w:instrText>
    </w:r>
    <w:r w:rsidR="00C0524C">
      <w:rPr>
        <w:b/>
        <w:sz w:val="24"/>
      </w:rPr>
      <w:fldChar w:fldCharType="separate"/>
    </w:r>
    <w:r w:rsidR="004557FB">
      <w:rPr>
        <w:b/>
        <w:noProof/>
      </w:rPr>
      <w:t>6</w:t>
    </w:r>
    <w:r w:rsidR="00C0524C">
      <w:rPr>
        <w:b/>
        <w:sz w:val="24"/>
      </w:rPr>
      <w:fldChar w:fldCharType="end"/>
    </w:r>
    <w:r>
      <w:rPr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967A1" w14:textId="1038C103" w:rsidR="00766533" w:rsidRPr="00E20C90" w:rsidRDefault="00E20C90" w:rsidP="00E20C90">
    <w:pPr>
      <w:pStyle w:val="Footer"/>
      <w:jc w:val="center"/>
      <w:rPr>
        <w:sz w:val="18"/>
        <w:szCs w:val="18"/>
      </w:rPr>
    </w:pPr>
    <w:r w:rsidRPr="00E20C90">
      <w:rPr>
        <w:sz w:val="18"/>
        <w:szCs w:val="18"/>
      </w:rPr>
      <w:fldChar w:fldCharType="begin"/>
    </w:r>
    <w:r w:rsidRPr="00E20C90">
      <w:rPr>
        <w:sz w:val="18"/>
        <w:szCs w:val="18"/>
      </w:rPr>
      <w:instrText xml:space="preserve"> FILENAME \* MERGEFORMAT </w:instrText>
    </w:r>
    <w:r w:rsidRPr="00E20C90">
      <w:rPr>
        <w:sz w:val="18"/>
        <w:szCs w:val="18"/>
      </w:rPr>
      <w:fldChar w:fldCharType="separate"/>
    </w:r>
    <w:r w:rsidR="004557FB">
      <w:rPr>
        <w:noProof/>
        <w:sz w:val="18"/>
        <w:szCs w:val="18"/>
      </w:rPr>
      <w:t>20</w:t>
    </w:r>
    <w:r w:rsidR="00E82022">
      <w:rPr>
        <w:noProof/>
        <w:sz w:val="18"/>
        <w:szCs w:val="18"/>
      </w:rPr>
      <w:t>21</w:t>
    </w:r>
    <w:r w:rsidR="004557FB">
      <w:rPr>
        <w:noProof/>
        <w:sz w:val="18"/>
        <w:szCs w:val="18"/>
      </w:rPr>
      <w:t xml:space="preserve"> - Key Competencies and Evaluation Criteria Renewals.docx</w:t>
    </w:r>
    <w:r w:rsidRPr="00E20C90"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</w:t>
    </w:r>
    <w:r w:rsidR="00766533" w:rsidRPr="00E20C90">
      <w:rPr>
        <w:sz w:val="18"/>
        <w:szCs w:val="18"/>
      </w:rPr>
      <w:t xml:space="preserve"> Page </w:t>
    </w:r>
    <w:r w:rsidR="00766533" w:rsidRPr="00E20C90">
      <w:rPr>
        <w:sz w:val="18"/>
        <w:szCs w:val="18"/>
      </w:rPr>
      <w:fldChar w:fldCharType="begin"/>
    </w:r>
    <w:r w:rsidR="00766533" w:rsidRPr="00E20C90">
      <w:rPr>
        <w:sz w:val="18"/>
        <w:szCs w:val="18"/>
      </w:rPr>
      <w:instrText xml:space="preserve"> PAGE </w:instrText>
    </w:r>
    <w:r w:rsidR="00766533" w:rsidRPr="00E20C90">
      <w:rPr>
        <w:sz w:val="18"/>
        <w:szCs w:val="18"/>
      </w:rPr>
      <w:fldChar w:fldCharType="separate"/>
    </w:r>
    <w:r w:rsidR="00E86064">
      <w:rPr>
        <w:noProof/>
        <w:sz w:val="18"/>
        <w:szCs w:val="18"/>
      </w:rPr>
      <w:t>1</w:t>
    </w:r>
    <w:r w:rsidR="00766533" w:rsidRPr="00E20C90">
      <w:rPr>
        <w:sz w:val="18"/>
        <w:szCs w:val="18"/>
      </w:rPr>
      <w:fldChar w:fldCharType="end"/>
    </w:r>
    <w:r w:rsidR="00766533" w:rsidRPr="00E20C90">
      <w:rPr>
        <w:sz w:val="18"/>
        <w:szCs w:val="18"/>
      </w:rPr>
      <w:t xml:space="preserve"> of </w:t>
    </w:r>
    <w:r w:rsidR="00471BF4" w:rsidRPr="00E20C90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BBE32" w14:textId="77777777" w:rsidR="005371D5" w:rsidRDefault="005371D5" w:rsidP="00B945E4">
      <w:r>
        <w:separator/>
      </w:r>
    </w:p>
  </w:footnote>
  <w:footnote w:type="continuationSeparator" w:id="0">
    <w:p w14:paraId="44D5B12D" w14:textId="77777777" w:rsidR="005371D5" w:rsidRDefault="005371D5" w:rsidP="00B945E4">
      <w:r>
        <w:continuationSeparator/>
      </w:r>
    </w:p>
  </w:footnote>
  <w:footnote w:id="1">
    <w:p w14:paraId="0E9E3A27" w14:textId="77777777" w:rsidR="000D2EA6" w:rsidRDefault="00CE3072">
      <w:pPr>
        <w:pStyle w:val="BodyText"/>
        <w:tabs>
          <w:tab w:val="left" w:pos="0"/>
        </w:tabs>
        <w:ind w:right="-383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CA4FD7">
        <w:rPr>
          <w:rFonts w:cs="Arial"/>
          <w:sz w:val="16"/>
          <w:szCs w:val="16"/>
        </w:rPr>
        <w:t xml:space="preserve">The term Clinical Trials Unit has been used in this document but experience of </w:t>
      </w:r>
      <w:r w:rsidRPr="00116440">
        <w:rPr>
          <w:rFonts w:cs="Arial"/>
          <w:i/>
          <w:sz w:val="16"/>
          <w:szCs w:val="16"/>
        </w:rPr>
        <w:t>leading</w:t>
      </w:r>
      <w:r w:rsidRPr="00116440">
        <w:rPr>
          <w:rFonts w:cs="Arial"/>
          <w:sz w:val="16"/>
          <w:szCs w:val="16"/>
        </w:rPr>
        <w:t xml:space="preserve"> the design, the </w:t>
      </w:r>
      <w:r w:rsidRPr="00116440">
        <w:rPr>
          <w:rFonts w:cs="Arial"/>
          <w:i/>
          <w:sz w:val="16"/>
          <w:szCs w:val="16"/>
        </w:rPr>
        <w:t>central/national</w:t>
      </w:r>
      <w:r w:rsidRPr="00116440">
        <w:rPr>
          <w:rFonts w:cs="Arial"/>
          <w:sz w:val="16"/>
          <w:szCs w:val="16"/>
        </w:rPr>
        <w:t xml:space="preserve"> </w:t>
      </w:r>
      <w:r w:rsidR="004D3B83" w:rsidRPr="00116440">
        <w:rPr>
          <w:rFonts w:cs="Arial"/>
          <w:sz w:val="16"/>
          <w:szCs w:val="16"/>
        </w:rPr>
        <w:t>coordination and</w:t>
      </w:r>
      <w:r w:rsidRPr="00116440">
        <w:rPr>
          <w:rFonts w:cs="Arial"/>
          <w:sz w:val="16"/>
          <w:szCs w:val="16"/>
        </w:rPr>
        <w:t xml:space="preserve"> the </w:t>
      </w:r>
      <w:r w:rsidRPr="00116440">
        <w:rPr>
          <w:rFonts w:cs="Arial"/>
          <w:i/>
          <w:sz w:val="16"/>
          <w:szCs w:val="16"/>
        </w:rPr>
        <w:t>overall</w:t>
      </w:r>
      <w:r w:rsidRPr="00116440">
        <w:rPr>
          <w:rFonts w:cs="Arial"/>
          <w:sz w:val="16"/>
          <w:szCs w:val="16"/>
        </w:rPr>
        <w:t xml:space="preserve"> analysis of </w:t>
      </w:r>
      <w:r w:rsidRPr="00CA4FD7">
        <w:rPr>
          <w:rFonts w:cs="Arial"/>
          <w:sz w:val="16"/>
          <w:szCs w:val="16"/>
        </w:rPr>
        <w:t xml:space="preserve">other clinical research </w:t>
      </w:r>
      <w:r w:rsidR="00855A74" w:rsidRPr="00CA4FD7">
        <w:rPr>
          <w:rFonts w:cs="Arial"/>
          <w:sz w:val="16"/>
          <w:szCs w:val="16"/>
        </w:rPr>
        <w:t>studies;</w:t>
      </w:r>
      <w:r w:rsidRPr="00CA4FD7">
        <w:rPr>
          <w:rFonts w:cs="Arial"/>
          <w:sz w:val="16"/>
          <w:szCs w:val="16"/>
        </w:rPr>
        <w:t xml:space="preserve"> especially large multi-centre epidemiological studies as well as Randomised Controlled Trials will be taken into </w:t>
      </w:r>
      <w:r w:rsidR="00855A74" w:rsidRPr="00CA4FD7">
        <w:rPr>
          <w:rFonts w:cs="Arial"/>
          <w:sz w:val="16"/>
          <w:szCs w:val="16"/>
        </w:rPr>
        <w:t>consideration</w:t>
      </w:r>
      <w:r w:rsidR="00855A74" w:rsidRPr="00116440">
        <w:rPr>
          <w:rFonts w:cs="Arial"/>
          <w:sz w:val="16"/>
          <w:szCs w:val="16"/>
        </w:rPr>
        <w:t>.</w:t>
      </w:r>
    </w:p>
  </w:footnote>
  <w:footnote w:id="2">
    <w:p w14:paraId="45EFEDD1" w14:textId="10A8A961" w:rsidR="00B11E68" w:rsidRDefault="00606170" w:rsidP="00B11E68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035107">
        <w:rPr>
          <w:rStyle w:val="FootnoteReference"/>
          <w:rFonts w:eastAsiaTheme="majorEastAsia"/>
          <w:sz w:val="22"/>
          <w:szCs w:val="24"/>
        </w:rPr>
        <w:footnoteRef/>
      </w:r>
      <w:r w:rsidRPr="00035107">
        <w:rPr>
          <w:rFonts w:ascii="Arial" w:hAnsi="Arial" w:cs="Arial"/>
          <w:sz w:val="16"/>
          <w:szCs w:val="16"/>
          <w:lang w:val="en-GB"/>
        </w:rPr>
        <w:t xml:space="preserve"> NIHR </w:t>
      </w:r>
      <w:r>
        <w:rPr>
          <w:rFonts w:ascii="Arial" w:hAnsi="Arial" w:cs="Arial"/>
          <w:sz w:val="16"/>
          <w:szCs w:val="16"/>
          <w:lang w:val="en-GB"/>
        </w:rPr>
        <w:t xml:space="preserve">and Devolved Nations </w:t>
      </w:r>
      <w:r w:rsidRPr="00035107">
        <w:rPr>
          <w:rFonts w:ascii="Arial" w:hAnsi="Arial" w:cs="Arial"/>
          <w:sz w:val="16"/>
          <w:szCs w:val="16"/>
          <w:lang w:val="en-GB"/>
        </w:rPr>
        <w:t xml:space="preserve">Portfolio eligibility see </w:t>
      </w:r>
      <w:hyperlink r:id="rId1" w:history="1">
        <w:r w:rsidR="009E2C88" w:rsidRPr="006D0156">
          <w:rPr>
            <w:rStyle w:val="Hyperlink"/>
            <w:rFonts w:ascii="Arial" w:hAnsi="Arial" w:cs="Arial"/>
            <w:sz w:val="16"/>
            <w:szCs w:val="16"/>
            <w:lang w:val="en-GB"/>
          </w:rPr>
          <w:t>http://www.crn.nihr.ac.uk/can-help/funders-academics/nihrcrn-portfolio/which-studies-are-eligible-for-clinical-research-network-support/</w:t>
        </w:r>
      </w:hyperlink>
      <w:r w:rsidR="009E2C88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(NIHR) </w:t>
      </w:r>
      <w:hyperlink r:id="rId2" w:history="1">
        <w:r w:rsidR="009E2C88" w:rsidRPr="006D0156">
          <w:rPr>
            <w:rStyle w:val="Hyperlink"/>
            <w:rFonts w:ascii="Arial" w:hAnsi="Arial" w:cs="Arial"/>
            <w:sz w:val="16"/>
            <w:szCs w:val="16"/>
            <w:lang w:val="en-GB"/>
          </w:rPr>
          <w:t>http://www.cso.scot.nhs.uk/wp-content/uploads/Scottish-studies-and-the-UKCRN-Portfolio.pdf</w:t>
        </w:r>
      </w:hyperlink>
      <w:r w:rsidR="009E2C88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(Scotland) </w:t>
      </w:r>
      <w:r w:rsidR="000D2DA6" w:rsidRPr="0061041B">
        <w:rPr>
          <w:rFonts w:ascii="Arial" w:hAnsi="Arial" w:cs="Arial"/>
          <w:sz w:val="16"/>
          <w:szCs w:val="16"/>
          <w:lang w:val="en-GB"/>
        </w:rPr>
        <w:t xml:space="preserve">https://www.healthandcareresearch.gov.wales/get-your-study-on-the-clinical-research-portfolio/ </w:t>
      </w:r>
      <w:r>
        <w:rPr>
          <w:rFonts w:ascii="Arial" w:hAnsi="Arial" w:cs="Arial"/>
          <w:sz w:val="16"/>
          <w:szCs w:val="16"/>
          <w:lang w:val="en-GB"/>
        </w:rPr>
        <w:t xml:space="preserve">(Wales) </w:t>
      </w:r>
      <w:r w:rsidR="000D2DA6" w:rsidRPr="0061041B">
        <w:rPr>
          <w:rFonts w:ascii="Arial" w:hAnsi="Arial" w:cs="Arial"/>
          <w:sz w:val="16"/>
          <w:szCs w:val="16"/>
          <w:lang w:val="en-GB"/>
        </w:rPr>
        <w:t xml:space="preserve">http://www.nicrn.hscni.net/nicrn-study-adoption/nicrn-adoption-process/ </w:t>
      </w:r>
      <w:r>
        <w:rPr>
          <w:rFonts w:ascii="Arial" w:hAnsi="Arial" w:cs="Arial"/>
          <w:sz w:val="16"/>
          <w:szCs w:val="16"/>
          <w:lang w:val="en-GB"/>
        </w:rPr>
        <w:t>(Northern Ireland)</w:t>
      </w:r>
    </w:p>
    <w:p w14:paraId="659334A7" w14:textId="3176B366" w:rsidR="00B11E68" w:rsidRPr="00B11E68" w:rsidRDefault="00B11E68" w:rsidP="006E5E56">
      <w:pPr>
        <w:pStyle w:val="FootnoteText"/>
        <w:spacing w:before="12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*</w:t>
      </w:r>
      <w:r w:rsidRPr="00B11E68">
        <w:rPr>
          <w:rFonts w:ascii="Arial" w:hAnsi="Arial" w:cs="Arial"/>
          <w:sz w:val="16"/>
          <w:szCs w:val="16"/>
          <w:lang w:val="en-GB"/>
        </w:rPr>
        <w:t xml:space="preserve"> </w:t>
      </w:r>
      <w:r w:rsidRPr="007F17A4">
        <w:rPr>
          <w:rFonts w:ascii="Arial" w:hAnsi="Arial" w:cs="Arial"/>
          <w:sz w:val="16"/>
          <w:szCs w:val="16"/>
          <w:lang w:val="en-GB"/>
        </w:rPr>
        <w:t xml:space="preserve">Must run one </w:t>
      </w:r>
      <w:r>
        <w:rPr>
          <w:rFonts w:ascii="Arial" w:hAnsi="Arial" w:cs="Arial"/>
          <w:sz w:val="16"/>
          <w:szCs w:val="16"/>
          <w:lang w:val="en-GB"/>
        </w:rPr>
        <w:t xml:space="preserve">Randomised </w:t>
      </w:r>
      <w:r w:rsidR="00AC1870">
        <w:rPr>
          <w:rFonts w:ascii="Arial" w:hAnsi="Arial" w:cs="Arial"/>
          <w:sz w:val="16"/>
          <w:szCs w:val="16"/>
          <w:lang w:val="en-GB"/>
        </w:rPr>
        <w:t>Controlled</w:t>
      </w:r>
      <w:r>
        <w:rPr>
          <w:rFonts w:ascii="Arial" w:hAnsi="Arial" w:cs="Arial"/>
          <w:sz w:val="16"/>
          <w:szCs w:val="16"/>
          <w:lang w:val="en-GB"/>
        </w:rPr>
        <w:t xml:space="preserve"> Trial (</w:t>
      </w:r>
      <w:r w:rsidRPr="007F17A4">
        <w:rPr>
          <w:rFonts w:ascii="Arial" w:hAnsi="Arial" w:cs="Arial"/>
          <w:sz w:val="16"/>
          <w:szCs w:val="16"/>
          <w:lang w:val="en-GB"/>
        </w:rPr>
        <w:t>RCT</w:t>
      </w:r>
      <w:r>
        <w:rPr>
          <w:rFonts w:ascii="Arial" w:hAnsi="Arial" w:cs="Arial"/>
          <w:sz w:val="16"/>
          <w:szCs w:val="16"/>
          <w:lang w:val="en-GB"/>
        </w:rPr>
        <w:t>)</w:t>
      </w:r>
    </w:p>
  </w:footnote>
  <w:footnote w:id="3">
    <w:p w14:paraId="5B57C81A" w14:textId="77777777" w:rsidR="005962A9" w:rsidRPr="00893E26" w:rsidRDefault="005962A9">
      <w:pPr>
        <w:pStyle w:val="FootnoteText"/>
        <w:rPr>
          <w:lang w:val="en-GB"/>
        </w:rPr>
      </w:pPr>
      <w:r w:rsidRPr="00035107">
        <w:rPr>
          <w:rStyle w:val="FootnoteReference"/>
          <w:rFonts w:eastAsiaTheme="majorEastAsia"/>
          <w:sz w:val="22"/>
          <w:szCs w:val="24"/>
        </w:rPr>
        <w:footnoteRef/>
      </w:r>
      <w:r w:rsidRPr="00035107">
        <w:rPr>
          <w:rFonts w:ascii="Arial" w:hAnsi="Arial" w:cs="Arial"/>
          <w:sz w:val="16"/>
          <w:szCs w:val="16"/>
          <w:lang w:val="en-GB"/>
        </w:rPr>
        <w:t xml:space="preserve"> As judged by NIHR </w:t>
      </w:r>
      <w:r>
        <w:rPr>
          <w:rFonts w:ascii="Arial" w:hAnsi="Arial" w:cs="Arial"/>
          <w:sz w:val="16"/>
          <w:szCs w:val="16"/>
          <w:lang w:val="en-GB"/>
        </w:rPr>
        <w:t xml:space="preserve">and Devolved Nations </w:t>
      </w:r>
      <w:r w:rsidRPr="00035107">
        <w:rPr>
          <w:rFonts w:ascii="Arial" w:hAnsi="Arial" w:cs="Arial"/>
          <w:sz w:val="16"/>
          <w:szCs w:val="16"/>
          <w:lang w:val="en-GB"/>
        </w:rPr>
        <w:t>Portfolio eligibility.</w:t>
      </w:r>
      <w:r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D013F"/>
    <w:multiLevelType w:val="hybridMultilevel"/>
    <w:tmpl w:val="5D40B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75477"/>
    <w:multiLevelType w:val="multilevel"/>
    <w:tmpl w:val="4C0862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D592A"/>
    <w:multiLevelType w:val="multilevel"/>
    <w:tmpl w:val="8C3E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B952963"/>
    <w:multiLevelType w:val="hybridMultilevel"/>
    <w:tmpl w:val="C5D4F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D6E80"/>
    <w:multiLevelType w:val="hybridMultilevel"/>
    <w:tmpl w:val="5D40B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5603E"/>
    <w:multiLevelType w:val="hybridMultilevel"/>
    <w:tmpl w:val="45E4C884"/>
    <w:lvl w:ilvl="0" w:tplc="3B7A07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07469"/>
    <w:multiLevelType w:val="hybridMultilevel"/>
    <w:tmpl w:val="C750F862"/>
    <w:lvl w:ilvl="0" w:tplc="26E446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03E93"/>
    <w:multiLevelType w:val="hybridMultilevel"/>
    <w:tmpl w:val="AAD09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97BC9"/>
    <w:multiLevelType w:val="hybridMultilevel"/>
    <w:tmpl w:val="AE4AEDD8"/>
    <w:lvl w:ilvl="0" w:tplc="08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 w15:restartNumberingAfterBreak="0">
    <w:nsid w:val="3FAC719C"/>
    <w:multiLevelType w:val="hybridMultilevel"/>
    <w:tmpl w:val="90709B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41E24"/>
    <w:multiLevelType w:val="hybridMultilevel"/>
    <w:tmpl w:val="EA1E26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C30A61"/>
    <w:multiLevelType w:val="hybridMultilevel"/>
    <w:tmpl w:val="90709B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86CCA"/>
    <w:multiLevelType w:val="hybridMultilevel"/>
    <w:tmpl w:val="A24812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136A8"/>
    <w:multiLevelType w:val="hybridMultilevel"/>
    <w:tmpl w:val="75FA9A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A14FF"/>
    <w:multiLevelType w:val="hybridMultilevel"/>
    <w:tmpl w:val="B8A40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22CC1"/>
    <w:multiLevelType w:val="hybridMultilevel"/>
    <w:tmpl w:val="82E27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C41A4"/>
    <w:multiLevelType w:val="hybridMultilevel"/>
    <w:tmpl w:val="75FA9A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F656E"/>
    <w:multiLevelType w:val="hybridMultilevel"/>
    <w:tmpl w:val="90709B34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6F62DFC"/>
    <w:multiLevelType w:val="hybridMultilevel"/>
    <w:tmpl w:val="B630F1A4"/>
    <w:lvl w:ilvl="0" w:tplc="92426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452B0"/>
    <w:multiLevelType w:val="hybridMultilevel"/>
    <w:tmpl w:val="F76C855A"/>
    <w:lvl w:ilvl="0" w:tplc="81982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47B91"/>
    <w:multiLevelType w:val="hybridMultilevel"/>
    <w:tmpl w:val="99920AF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40083"/>
    <w:multiLevelType w:val="hybridMultilevel"/>
    <w:tmpl w:val="AFA4AD9A"/>
    <w:lvl w:ilvl="0" w:tplc="EB5A5E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B1DB2"/>
    <w:multiLevelType w:val="hybridMultilevel"/>
    <w:tmpl w:val="75FA9A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3"/>
  </w:num>
  <w:num w:numId="15">
    <w:abstractNumId w:val="18"/>
  </w:num>
  <w:num w:numId="16">
    <w:abstractNumId w:val="32"/>
  </w:num>
  <w:num w:numId="17">
    <w:abstractNumId w:val="30"/>
  </w:num>
  <w:num w:numId="18">
    <w:abstractNumId w:val="19"/>
  </w:num>
  <w:num w:numId="19">
    <w:abstractNumId w:val="22"/>
  </w:num>
  <w:num w:numId="20">
    <w:abstractNumId w:val="12"/>
  </w:num>
  <w:num w:numId="21">
    <w:abstractNumId w:val="15"/>
  </w:num>
  <w:num w:numId="22">
    <w:abstractNumId w:val="17"/>
  </w:num>
  <w:num w:numId="23">
    <w:abstractNumId w:val="31"/>
  </w:num>
  <w:num w:numId="24">
    <w:abstractNumId w:val="23"/>
  </w:num>
  <w:num w:numId="25">
    <w:abstractNumId w:val="14"/>
  </w:num>
  <w:num w:numId="26">
    <w:abstractNumId w:val="26"/>
  </w:num>
  <w:num w:numId="27">
    <w:abstractNumId w:val="21"/>
  </w:num>
  <w:num w:numId="28">
    <w:abstractNumId w:val="10"/>
  </w:num>
  <w:num w:numId="29">
    <w:abstractNumId w:val="11"/>
  </w:num>
  <w:num w:numId="30">
    <w:abstractNumId w:val="27"/>
  </w:num>
  <w:num w:numId="31">
    <w:abstractNumId w:val="28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00EC"/>
    <w:rsid w:val="000045AC"/>
    <w:rsid w:val="000048C1"/>
    <w:rsid w:val="0000640A"/>
    <w:rsid w:val="000115D4"/>
    <w:rsid w:val="00015E37"/>
    <w:rsid w:val="000302DE"/>
    <w:rsid w:val="00035107"/>
    <w:rsid w:val="00045805"/>
    <w:rsid w:val="00063E13"/>
    <w:rsid w:val="0006688F"/>
    <w:rsid w:val="00067549"/>
    <w:rsid w:val="00073047"/>
    <w:rsid w:val="00073C21"/>
    <w:rsid w:val="00081A87"/>
    <w:rsid w:val="0008680F"/>
    <w:rsid w:val="00094D34"/>
    <w:rsid w:val="000A0076"/>
    <w:rsid w:val="000A05A3"/>
    <w:rsid w:val="000A0D4A"/>
    <w:rsid w:val="000A395C"/>
    <w:rsid w:val="000A7040"/>
    <w:rsid w:val="000B74C5"/>
    <w:rsid w:val="000C4509"/>
    <w:rsid w:val="000D1D08"/>
    <w:rsid w:val="000D2DA6"/>
    <w:rsid w:val="000D2EA6"/>
    <w:rsid w:val="000E41FD"/>
    <w:rsid w:val="000F07D5"/>
    <w:rsid w:val="000F4809"/>
    <w:rsid w:val="000F4ADB"/>
    <w:rsid w:val="00100CD2"/>
    <w:rsid w:val="001017BE"/>
    <w:rsid w:val="00105BBD"/>
    <w:rsid w:val="0011740E"/>
    <w:rsid w:val="00121202"/>
    <w:rsid w:val="00121CC7"/>
    <w:rsid w:val="0012289D"/>
    <w:rsid w:val="0013446A"/>
    <w:rsid w:val="0014487B"/>
    <w:rsid w:val="00147A66"/>
    <w:rsid w:val="001503C8"/>
    <w:rsid w:val="001577F1"/>
    <w:rsid w:val="00162783"/>
    <w:rsid w:val="001673BB"/>
    <w:rsid w:val="001937E8"/>
    <w:rsid w:val="00194A01"/>
    <w:rsid w:val="001A3C73"/>
    <w:rsid w:val="001A658A"/>
    <w:rsid w:val="001B30BB"/>
    <w:rsid w:val="001C0769"/>
    <w:rsid w:val="001C1CAD"/>
    <w:rsid w:val="001C2792"/>
    <w:rsid w:val="001C2F45"/>
    <w:rsid w:val="001D6053"/>
    <w:rsid w:val="001E25A2"/>
    <w:rsid w:val="001E3E47"/>
    <w:rsid w:val="001E6BE8"/>
    <w:rsid w:val="001E6CF0"/>
    <w:rsid w:val="001E7671"/>
    <w:rsid w:val="001F093B"/>
    <w:rsid w:val="001F0C10"/>
    <w:rsid w:val="001F4706"/>
    <w:rsid w:val="001F7DBD"/>
    <w:rsid w:val="00207BDE"/>
    <w:rsid w:val="00210CE1"/>
    <w:rsid w:val="00222CEE"/>
    <w:rsid w:val="00227C56"/>
    <w:rsid w:val="00236CAE"/>
    <w:rsid w:val="0024486A"/>
    <w:rsid w:val="00251446"/>
    <w:rsid w:val="0026519D"/>
    <w:rsid w:val="00273123"/>
    <w:rsid w:val="00276E89"/>
    <w:rsid w:val="00281DFC"/>
    <w:rsid w:val="00287DB7"/>
    <w:rsid w:val="0029588D"/>
    <w:rsid w:val="002A237B"/>
    <w:rsid w:val="002A382B"/>
    <w:rsid w:val="002A48E5"/>
    <w:rsid w:val="002A76C5"/>
    <w:rsid w:val="002B09F7"/>
    <w:rsid w:val="002C0899"/>
    <w:rsid w:val="002C75C4"/>
    <w:rsid w:val="002E4660"/>
    <w:rsid w:val="00300B8C"/>
    <w:rsid w:val="00307153"/>
    <w:rsid w:val="00311C38"/>
    <w:rsid w:val="00322FA3"/>
    <w:rsid w:val="00330467"/>
    <w:rsid w:val="00331D7F"/>
    <w:rsid w:val="00334FA2"/>
    <w:rsid w:val="003400F1"/>
    <w:rsid w:val="00347ED3"/>
    <w:rsid w:val="00360A1D"/>
    <w:rsid w:val="003656B6"/>
    <w:rsid w:val="00365705"/>
    <w:rsid w:val="00366D26"/>
    <w:rsid w:val="00374821"/>
    <w:rsid w:val="00374DE7"/>
    <w:rsid w:val="00376F77"/>
    <w:rsid w:val="00391DE3"/>
    <w:rsid w:val="00393963"/>
    <w:rsid w:val="003963FC"/>
    <w:rsid w:val="003B3EAB"/>
    <w:rsid w:val="003B45E7"/>
    <w:rsid w:val="003B72A0"/>
    <w:rsid w:val="003C7886"/>
    <w:rsid w:val="003D386D"/>
    <w:rsid w:val="003D5FBD"/>
    <w:rsid w:val="003E1A65"/>
    <w:rsid w:val="003E3A47"/>
    <w:rsid w:val="003F1AB6"/>
    <w:rsid w:val="003F25B3"/>
    <w:rsid w:val="003F2B47"/>
    <w:rsid w:val="003F68F6"/>
    <w:rsid w:val="00402BA4"/>
    <w:rsid w:val="0041230B"/>
    <w:rsid w:val="00416AA0"/>
    <w:rsid w:val="00417643"/>
    <w:rsid w:val="00426396"/>
    <w:rsid w:val="0044113F"/>
    <w:rsid w:val="00444D19"/>
    <w:rsid w:val="0044677C"/>
    <w:rsid w:val="004550E8"/>
    <w:rsid w:val="0045568F"/>
    <w:rsid w:val="004557FB"/>
    <w:rsid w:val="00455F6E"/>
    <w:rsid w:val="00462881"/>
    <w:rsid w:val="00471BF4"/>
    <w:rsid w:val="00474587"/>
    <w:rsid w:val="004839A4"/>
    <w:rsid w:val="00483D7B"/>
    <w:rsid w:val="00495B9E"/>
    <w:rsid w:val="004A2482"/>
    <w:rsid w:val="004B1502"/>
    <w:rsid w:val="004D0944"/>
    <w:rsid w:val="004D3B83"/>
    <w:rsid w:val="004D4E92"/>
    <w:rsid w:val="004D6FE8"/>
    <w:rsid w:val="004E16C5"/>
    <w:rsid w:val="0050314D"/>
    <w:rsid w:val="005126F4"/>
    <w:rsid w:val="00512D54"/>
    <w:rsid w:val="005271D2"/>
    <w:rsid w:val="00533673"/>
    <w:rsid w:val="00533E1A"/>
    <w:rsid w:val="0053644E"/>
    <w:rsid w:val="005371D5"/>
    <w:rsid w:val="00537305"/>
    <w:rsid w:val="00560C03"/>
    <w:rsid w:val="00561847"/>
    <w:rsid w:val="0056264E"/>
    <w:rsid w:val="0057582F"/>
    <w:rsid w:val="00583155"/>
    <w:rsid w:val="00584B5F"/>
    <w:rsid w:val="00592C74"/>
    <w:rsid w:val="005962A9"/>
    <w:rsid w:val="005A6C1A"/>
    <w:rsid w:val="005A7C39"/>
    <w:rsid w:val="005B0D14"/>
    <w:rsid w:val="005B1D0D"/>
    <w:rsid w:val="005B1E76"/>
    <w:rsid w:val="005B28DE"/>
    <w:rsid w:val="005C3301"/>
    <w:rsid w:val="005C705A"/>
    <w:rsid w:val="005E6762"/>
    <w:rsid w:val="005F5C24"/>
    <w:rsid w:val="005F61AE"/>
    <w:rsid w:val="0060495C"/>
    <w:rsid w:val="00606170"/>
    <w:rsid w:val="00613BF0"/>
    <w:rsid w:val="00616CEF"/>
    <w:rsid w:val="006206BB"/>
    <w:rsid w:val="00621B17"/>
    <w:rsid w:val="00631967"/>
    <w:rsid w:val="00634657"/>
    <w:rsid w:val="006422C8"/>
    <w:rsid w:val="00647472"/>
    <w:rsid w:val="00647C63"/>
    <w:rsid w:val="00652071"/>
    <w:rsid w:val="00677D70"/>
    <w:rsid w:val="00680004"/>
    <w:rsid w:val="0068190B"/>
    <w:rsid w:val="006846E8"/>
    <w:rsid w:val="006A4D3C"/>
    <w:rsid w:val="006B21DB"/>
    <w:rsid w:val="006B2285"/>
    <w:rsid w:val="006E5E56"/>
    <w:rsid w:val="006F163E"/>
    <w:rsid w:val="00720495"/>
    <w:rsid w:val="00720CF1"/>
    <w:rsid w:val="00725082"/>
    <w:rsid w:val="00732F7C"/>
    <w:rsid w:val="0073465B"/>
    <w:rsid w:val="007432A7"/>
    <w:rsid w:val="00756097"/>
    <w:rsid w:val="00766533"/>
    <w:rsid w:val="00774330"/>
    <w:rsid w:val="00780F3B"/>
    <w:rsid w:val="00781BAC"/>
    <w:rsid w:val="00792446"/>
    <w:rsid w:val="007A4FC9"/>
    <w:rsid w:val="007B65BF"/>
    <w:rsid w:val="007C069E"/>
    <w:rsid w:val="007C17D4"/>
    <w:rsid w:val="007C6C0D"/>
    <w:rsid w:val="007E0866"/>
    <w:rsid w:val="007F17A4"/>
    <w:rsid w:val="00802AA0"/>
    <w:rsid w:val="00804D48"/>
    <w:rsid w:val="00811633"/>
    <w:rsid w:val="00821531"/>
    <w:rsid w:val="00822633"/>
    <w:rsid w:val="00831A7C"/>
    <w:rsid w:val="00855A74"/>
    <w:rsid w:val="00857B49"/>
    <w:rsid w:val="00860AF6"/>
    <w:rsid w:val="008647D1"/>
    <w:rsid w:val="00867177"/>
    <w:rsid w:val="008733B6"/>
    <w:rsid w:val="00873D7B"/>
    <w:rsid w:val="00873EA9"/>
    <w:rsid w:val="00880119"/>
    <w:rsid w:val="008846AA"/>
    <w:rsid w:val="00890E90"/>
    <w:rsid w:val="00893E26"/>
    <w:rsid w:val="00896763"/>
    <w:rsid w:val="008A0261"/>
    <w:rsid w:val="008A5D9E"/>
    <w:rsid w:val="008A6C06"/>
    <w:rsid w:val="008B46EA"/>
    <w:rsid w:val="008C3F4A"/>
    <w:rsid w:val="008C7E8E"/>
    <w:rsid w:val="008D1DBF"/>
    <w:rsid w:val="008E60B2"/>
    <w:rsid w:val="00902D7A"/>
    <w:rsid w:val="00907BEC"/>
    <w:rsid w:val="0091059B"/>
    <w:rsid w:val="00913A97"/>
    <w:rsid w:val="009179DE"/>
    <w:rsid w:val="0092019C"/>
    <w:rsid w:val="00930117"/>
    <w:rsid w:val="0093762C"/>
    <w:rsid w:val="00945786"/>
    <w:rsid w:val="00951A6B"/>
    <w:rsid w:val="00955B60"/>
    <w:rsid w:val="00982F8C"/>
    <w:rsid w:val="00990851"/>
    <w:rsid w:val="00997238"/>
    <w:rsid w:val="009B23C2"/>
    <w:rsid w:val="009B3150"/>
    <w:rsid w:val="009B4B59"/>
    <w:rsid w:val="009D0B01"/>
    <w:rsid w:val="009D274E"/>
    <w:rsid w:val="009E007F"/>
    <w:rsid w:val="009E0B61"/>
    <w:rsid w:val="009E0C1E"/>
    <w:rsid w:val="009E1D7B"/>
    <w:rsid w:val="009E2C88"/>
    <w:rsid w:val="009E5488"/>
    <w:rsid w:val="009F4ED3"/>
    <w:rsid w:val="00A057C0"/>
    <w:rsid w:val="00A14E1B"/>
    <w:rsid w:val="00A21F1F"/>
    <w:rsid w:val="00A30860"/>
    <w:rsid w:val="00A36CF5"/>
    <w:rsid w:val="00A4787B"/>
    <w:rsid w:val="00A61D65"/>
    <w:rsid w:val="00A625B3"/>
    <w:rsid w:val="00A72F96"/>
    <w:rsid w:val="00A770B5"/>
    <w:rsid w:val="00A80DC2"/>
    <w:rsid w:val="00A854D2"/>
    <w:rsid w:val="00A977F2"/>
    <w:rsid w:val="00AA7645"/>
    <w:rsid w:val="00AB27FF"/>
    <w:rsid w:val="00AB42B6"/>
    <w:rsid w:val="00AC1870"/>
    <w:rsid w:val="00AC6F7C"/>
    <w:rsid w:val="00AD1B4C"/>
    <w:rsid w:val="00AD3173"/>
    <w:rsid w:val="00AD6DA3"/>
    <w:rsid w:val="00AE0A0B"/>
    <w:rsid w:val="00AE641D"/>
    <w:rsid w:val="00AE7280"/>
    <w:rsid w:val="00B11E68"/>
    <w:rsid w:val="00B159BF"/>
    <w:rsid w:val="00B23CD9"/>
    <w:rsid w:val="00B23E4E"/>
    <w:rsid w:val="00B2560D"/>
    <w:rsid w:val="00B300DA"/>
    <w:rsid w:val="00B35D3B"/>
    <w:rsid w:val="00B3772F"/>
    <w:rsid w:val="00B43D0B"/>
    <w:rsid w:val="00B45E3A"/>
    <w:rsid w:val="00B60B27"/>
    <w:rsid w:val="00B64115"/>
    <w:rsid w:val="00B64F48"/>
    <w:rsid w:val="00B6610E"/>
    <w:rsid w:val="00B6784C"/>
    <w:rsid w:val="00B70EA8"/>
    <w:rsid w:val="00B73992"/>
    <w:rsid w:val="00B7564E"/>
    <w:rsid w:val="00B86094"/>
    <w:rsid w:val="00B879DF"/>
    <w:rsid w:val="00B900EE"/>
    <w:rsid w:val="00B945E4"/>
    <w:rsid w:val="00BB2EAE"/>
    <w:rsid w:val="00BB3DD5"/>
    <w:rsid w:val="00BB4C90"/>
    <w:rsid w:val="00BC23E0"/>
    <w:rsid w:val="00BE008E"/>
    <w:rsid w:val="00BF723D"/>
    <w:rsid w:val="00BF7C01"/>
    <w:rsid w:val="00C0524C"/>
    <w:rsid w:val="00C067F0"/>
    <w:rsid w:val="00C07832"/>
    <w:rsid w:val="00C201FD"/>
    <w:rsid w:val="00C31507"/>
    <w:rsid w:val="00C3370D"/>
    <w:rsid w:val="00C33C24"/>
    <w:rsid w:val="00C42EDB"/>
    <w:rsid w:val="00C43089"/>
    <w:rsid w:val="00C4532C"/>
    <w:rsid w:val="00C51293"/>
    <w:rsid w:val="00C62106"/>
    <w:rsid w:val="00C648C2"/>
    <w:rsid w:val="00C84724"/>
    <w:rsid w:val="00C87A15"/>
    <w:rsid w:val="00C87D5C"/>
    <w:rsid w:val="00C91F6E"/>
    <w:rsid w:val="00CA19CD"/>
    <w:rsid w:val="00CA3C26"/>
    <w:rsid w:val="00CC0ABB"/>
    <w:rsid w:val="00CD0D4A"/>
    <w:rsid w:val="00CE23E7"/>
    <w:rsid w:val="00CE3072"/>
    <w:rsid w:val="00CF25DF"/>
    <w:rsid w:val="00D0038C"/>
    <w:rsid w:val="00D00D33"/>
    <w:rsid w:val="00D0696D"/>
    <w:rsid w:val="00D164D1"/>
    <w:rsid w:val="00D3071C"/>
    <w:rsid w:val="00D310B5"/>
    <w:rsid w:val="00D35294"/>
    <w:rsid w:val="00D44E63"/>
    <w:rsid w:val="00D4704B"/>
    <w:rsid w:val="00D55021"/>
    <w:rsid w:val="00D558C7"/>
    <w:rsid w:val="00D56E7F"/>
    <w:rsid w:val="00D772CC"/>
    <w:rsid w:val="00D81945"/>
    <w:rsid w:val="00D922B1"/>
    <w:rsid w:val="00D97158"/>
    <w:rsid w:val="00D97D83"/>
    <w:rsid w:val="00DA2362"/>
    <w:rsid w:val="00DA2815"/>
    <w:rsid w:val="00DB3EF7"/>
    <w:rsid w:val="00DC330C"/>
    <w:rsid w:val="00DC6C93"/>
    <w:rsid w:val="00DC7C2E"/>
    <w:rsid w:val="00DD0617"/>
    <w:rsid w:val="00DE460A"/>
    <w:rsid w:val="00DE47D8"/>
    <w:rsid w:val="00DE4C67"/>
    <w:rsid w:val="00E0391E"/>
    <w:rsid w:val="00E03CAD"/>
    <w:rsid w:val="00E057DF"/>
    <w:rsid w:val="00E209F2"/>
    <w:rsid w:val="00E20C90"/>
    <w:rsid w:val="00E21C41"/>
    <w:rsid w:val="00E222C6"/>
    <w:rsid w:val="00E353EE"/>
    <w:rsid w:val="00E40FFA"/>
    <w:rsid w:val="00E43088"/>
    <w:rsid w:val="00E47DC0"/>
    <w:rsid w:val="00E514AE"/>
    <w:rsid w:val="00E56C8F"/>
    <w:rsid w:val="00E72B33"/>
    <w:rsid w:val="00E768C0"/>
    <w:rsid w:val="00E82022"/>
    <w:rsid w:val="00E854AE"/>
    <w:rsid w:val="00E86064"/>
    <w:rsid w:val="00EA3AE1"/>
    <w:rsid w:val="00EB5FBF"/>
    <w:rsid w:val="00EB6087"/>
    <w:rsid w:val="00EB66B1"/>
    <w:rsid w:val="00EC2771"/>
    <w:rsid w:val="00EE0CB1"/>
    <w:rsid w:val="00EE281C"/>
    <w:rsid w:val="00EE3980"/>
    <w:rsid w:val="00EE3DF3"/>
    <w:rsid w:val="00EE494F"/>
    <w:rsid w:val="00EE52F0"/>
    <w:rsid w:val="00EE5D40"/>
    <w:rsid w:val="00EE6965"/>
    <w:rsid w:val="00EF1510"/>
    <w:rsid w:val="00EF48DD"/>
    <w:rsid w:val="00EF625B"/>
    <w:rsid w:val="00F0282C"/>
    <w:rsid w:val="00F159D2"/>
    <w:rsid w:val="00F22AB0"/>
    <w:rsid w:val="00F270F1"/>
    <w:rsid w:val="00F326E2"/>
    <w:rsid w:val="00F367F1"/>
    <w:rsid w:val="00F419B2"/>
    <w:rsid w:val="00F46217"/>
    <w:rsid w:val="00F6056D"/>
    <w:rsid w:val="00F6080E"/>
    <w:rsid w:val="00F95A70"/>
    <w:rsid w:val="00F95E86"/>
    <w:rsid w:val="00F97DD9"/>
    <w:rsid w:val="00FA18CD"/>
    <w:rsid w:val="00FA7457"/>
    <w:rsid w:val="00FB1F09"/>
    <w:rsid w:val="00FD016D"/>
    <w:rsid w:val="00FE6041"/>
    <w:rsid w:val="00FF34F3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DEABDF"/>
  <w15:docId w15:val="{F81A3A3B-BF5E-4093-9F13-DEBABA1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E4"/>
    <w:pPr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FootnoteText">
    <w:name w:val="footnote text"/>
    <w:basedOn w:val="Normal"/>
    <w:link w:val="FootnoteTextChar"/>
    <w:semiHidden/>
    <w:rsid w:val="00B945E4"/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945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B945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4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5E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5E4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8C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00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8C"/>
    <w:rPr>
      <w:rFonts w:eastAsia="Times New Roman" w:cs="Times New Roman"/>
      <w:sz w:val="22"/>
    </w:rPr>
  </w:style>
  <w:style w:type="paragraph" w:styleId="Revision">
    <w:name w:val="Revision"/>
    <w:hidden/>
    <w:uiPriority w:val="99"/>
    <w:semiHidden/>
    <w:rsid w:val="00B6610E"/>
    <w:pPr>
      <w:spacing w:after="0" w:line="240" w:lineRule="auto"/>
    </w:pPr>
    <w:rPr>
      <w:rFonts w:eastAsia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EF62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2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o.scot.nhs.uk/wp-content/uploads/Scottish-studies-and-the-UKCRN-Portfolio.pdf" TargetMode="External"/><Relationship Id="rId1" Type="http://schemas.openxmlformats.org/officeDocument/2006/relationships/hyperlink" Target="http://www.crn.nihr.ac.uk/can-help/funders-academics/nihrcrn-portfolio/which-studies-are-eligible-for-clinical-research-network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5CBF-DA67-4073-9DF9-78D8FD91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Saeeda Bashir</dc:creator>
  <cp:lastModifiedBy>Helen Evans</cp:lastModifiedBy>
  <cp:revision>2</cp:revision>
  <cp:lastPrinted>2019-05-14T15:50:00Z</cp:lastPrinted>
  <dcterms:created xsi:type="dcterms:W3CDTF">2021-05-21T10:42:00Z</dcterms:created>
  <dcterms:modified xsi:type="dcterms:W3CDTF">2021-05-21T10:42:00Z</dcterms:modified>
</cp:coreProperties>
</file>